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D0" w:rsidRPr="00BC005D" w:rsidRDefault="009A1B21" w:rsidP="003F76D0">
      <w:pPr>
        <w:spacing w:after="0" w:line="240" w:lineRule="auto"/>
        <w:jc w:val="center"/>
        <w:rPr>
          <w:rFonts w:ascii="Times New Roman" w:hAnsi="Times New Roman"/>
          <w:b/>
          <w:sz w:val="24"/>
          <w:szCs w:val="24"/>
          <w:lang w:val="en-US"/>
        </w:rPr>
      </w:pPr>
      <w:r>
        <w:rPr>
          <w:rFonts w:ascii="Times New Roman" w:eastAsia="Times New Roman" w:hAnsi="Times New Roman"/>
          <w:b/>
          <w:noProof/>
          <w:sz w:val="24"/>
          <w:szCs w:val="24"/>
          <w:lang w:eastAsia="en-GB"/>
        </w:rPr>
        <mc:AlternateContent>
          <mc:Choice Requires="wps">
            <w:drawing>
              <wp:anchor distT="45720" distB="45720" distL="114300" distR="114300" simplePos="0" relativeHeight="251680768" behindDoc="1" locked="0" layoutInCell="1" allowOverlap="1" wp14:anchorId="5D6E1620" wp14:editId="6353C315">
                <wp:simplePos x="0" y="0"/>
                <wp:positionH relativeFrom="column">
                  <wp:posOffset>4762500</wp:posOffset>
                </wp:positionH>
                <wp:positionV relativeFrom="page">
                  <wp:posOffset>83820</wp:posOffset>
                </wp:positionV>
                <wp:extent cx="1400175" cy="285750"/>
                <wp:effectExtent l="0" t="0" r="9525" b="0"/>
                <wp:wrapTight wrapText="bothSides">
                  <wp:wrapPolygon edited="0">
                    <wp:start x="0" y="0"/>
                    <wp:lineTo x="0" y="20160"/>
                    <wp:lineTo x="21453" y="20160"/>
                    <wp:lineTo x="21453"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B21" w:rsidRPr="00EE50F7" w:rsidRDefault="00D42C6F" w:rsidP="009A1B21">
                            <w:pPr>
                              <w:jc w:val="center"/>
                              <w:rPr>
                                <w:rFonts w:ascii="Times New Roman" w:hAnsi="Times New Roman"/>
                                <w:color w:val="7030A0"/>
                                <w:sz w:val="24"/>
                                <w:szCs w:val="24"/>
                                <w:u w:val="single"/>
                              </w:rPr>
                            </w:pPr>
                            <w:hyperlink r:id="rId7" w:history="1">
                              <w:r w:rsidR="009A1B21" w:rsidRPr="00EE50F7">
                                <w:rPr>
                                  <w:rStyle w:val="Hyperlink"/>
                                  <w:rFonts w:ascii="Times New Roman" w:hAnsi="Times New Roman"/>
                                  <w:sz w:val="24"/>
                                  <w:szCs w:val="24"/>
                                </w:rPr>
                                <w:t>Back to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6E1620" id="_x0000_t202" coordsize="21600,21600" o:spt="202" path="m,l,21600r21600,l21600,xe">
                <v:stroke joinstyle="miter"/>
                <v:path gradientshapeok="t" o:connecttype="rect"/>
              </v:shapetype>
              <v:shape id="Text Box 13" o:spid="_x0000_s1026" type="#_x0000_t202" style="position:absolute;left:0;text-align:left;margin-left:375pt;margin-top:6.6pt;width:110.25pt;height:2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1qggIAABE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" stroked="f">
                <v:textbox>
                  <w:txbxContent>
                    <w:p w:rsidR="009A1B21" w:rsidRPr="00EE50F7" w:rsidRDefault="00951401" w:rsidP="009A1B21">
                      <w:pPr>
                        <w:jc w:val="center"/>
                        <w:rPr>
                          <w:rFonts w:ascii="Times New Roman" w:hAnsi="Times New Roman"/>
                          <w:color w:val="7030A0"/>
                          <w:sz w:val="24"/>
                          <w:szCs w:val="24"/>
                          <w:u w:val="single"/>
                        </w:rPr>
                      </w:pPr>
                      <w:hyperlink r:id="rId8" w:history="1">
                        <w:r w:rsidR="009A1B21" w:rsidRPr="00EE50F7">
                          <w:rPr>
                            <w:rStyle w:val="Hyperlink"/>
                            <w:rFonts w:ascii="Times New Roman" w:hAnsi="Times New Roman"/>
                            <w:sz w:val="24"/>
                            <w:szCs w:val="24"/>
                          </w:rPr>
                          <w:t>Back to Contents</w:t>
                        </w:r>
                      </w:hyperlink>
                    </w:p>
                  </w:txbxContent>
                </v:textbox>
                <w10:wrap type="tight" anchory="page"/>
              </v:shape>
            </w:pict>
          </mc:Fallback>
        </mc:AlternateContent>
      </w:r>
      <w:r w:rsidR="00EE50F7">
        <w:rPr>
          <w:rFonts w:ascii="Times New Roman" w:eastAsia="Times New Roman" w:hAnsi="Times New Roman"/>
          <w:b/>
          <w:noProof/>
          <w:sz w:val="24"/>
          <w:szCs w:val="24"/>
          <w:lang w:eastAsia="en-GB"/>
        </w:rPr>
        <mc:AlternateContent>
          <mc:Choice Requires="wps">
            <w:drawing>
              <wp:anchor distT="45720" distB="45720" distL="114300" distR="114300" simplePos="0" relativeHeight="251658240" behindDoc="1" locked="0" layoutInCell="1" allowOverlap="1">
                <wp:simplePos x="0" y="0"/>
                <wp:positionH relativeFrom="column">
                  <wp:posOffset>-981075</wp:posOffset>
                </wp:positionH>
                <wp:positionV relativeFrom="page">
                  <wp:posOffset>85725</wp:posOffset>
                </wp:positionV>
                <wp:extent cx="1400175" cy="285750"/>
                <wp:effectExtent l="0" t="0" r="9525" b="0"/>
                <wp:wrapTight wrapText="bothSides">
                  <wp:wrapPolygon edited="0">
                    <wp:start x="0" y="0"/>
                    <wp:lineTo x="0" y="20160"/>
                    <wp:lineTo x="21453" y="20160"/>
                    <wp:lineTo x="2145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0F7" w:rsidRPr="00D74886" w:rsidRDefault="00D42C6F" w:rsidP="00EE50F7">
                            <w:pPr>
                              <w:jc w:val="center"/>
                              <w:rPr>
                                <w:rFonts w:ascii="Times New Roman" w:hAnsi="Times New Roman"/>
                                <w:color w:val="7030A0"/>
                                <w:sz w:val="24"/>
                                <w:szCs w:val="24"/>
                                <w:u w:val="single"/>
                              </w:rPr>
                            </w:pPr>
                            <w:hyperlink r:id="rId9" w:anchor="Appendices_IA_to_ID" w:history="1">
                              <w:r w:rsidR="00EE50F7" w:rsidRPr="001445BD">
                                <w:rPr>
                                  <w:rStyle w:val="Hyperlink"/>
                                  <w:rFonts w:ascii="Times New Roman" w:hAnsi="Times New Roman"/>
                                  <w:sz w:val="24"/>
                                  <w:szCs w:val="24"/>
                                </w:rPr>
                                <w:t>Back to Paragraph</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7.25pt;margin-top:6.75pt;width:110.25pt;height: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" stroked="f">
                <v:textbox>
                  <w:txbxContent>
                    <w:p w:rsidR="00EE50F7" w:rsidRPr="00D74886" w:rsidRDefault="001445BD" w:rsidP="00EE50F7">
                      <w:pPr>
                        <w:jc w:val="center"/>
                        <w:rPr>
                          <w:rFonts w:ascii="Times New Roman" w:hAnsi="Times New Roman"/>
                          <w:color w:val="7030A0"/>
                          <w:sz w:val="24"/>
                          <w:szCs w:val="24"/>
                          <w:u w:val="single"/>
                        </w:rPr>
                      </w:pPr>
                      <w:hyperlink r:id="rId10" w:anchor="Appendices_IA_to_ID" w:history="1">
                        <w:r w:rsidR="00EE50F7" w:rsidRPr="001445BD">
                          <w:rPr>
                            <w:rStyle w:val="Hyperlink"/>
                            <w:rFonts w:ascii="Times New Roman" w:hAnsi="Times New Roman"/>
                            <w:sz w:val="24"/>
                            <w:szCs w:val="24"/>
                          </w:rPr>
                          <w:t>Back to Para</w:t>
                        </w:r>
                        <w:bookmarkStart w:id="1" w:name="_GoBack"/>
                        <w:r w:rsidR="00EE50F7" w:rsidRPr="001445BD">
                          <w:rPr>
                            <w:rStyle w:val="Hyperlink"/>
                            <w:rFonts w:ascii="Times New Roman" w:hAnsi="Times New Roman"/>
                            <w:sz w:val="24"/>
                            <w:szCs w:val="24"/>
                          </w:rPr>
                          <w:t>g</w:t>
                        </w:r>
                        <w:bookmarkEnd w:id="1"/>
                        <w:r w:rsidR="00EE50F7" w:rsidRPr="001445BD">
                          <w:rPr>
                            <w:rStyle w:val="Hyperlink"/>
                            <w:rFonts w:ascii="Times New Roman" w:hAnsi="Times New Roman"/>
                            <w:sz w:val="24"/>
                            <w:szCs w:val="24"/>
                          </w:rPr>
                          <w:t>raph</w:t>
                        </w:r>
                      </w:hyperlink>
                    </w:p>
                  </w:txbxContent>
                </v:textbox>
                <w10:wrap type="tight" anchory="page"/>
              </v:shape>
            </w:pict>
          </mc:Fallback>
        </mc:AlternateContent>
      </w:r>
      <w:r w:rsidR="003F76D0" w:rsidRPr="00BC005D">
        <w:rPr>
          <w:rFonts w:ascii="Times New Roman" w:hAnsi="Times New Roman"/>
          <w:b/>
          <w:sz w:val="24"/>
          <w:szCs w:val="24"/>
          <w:lang w:val="en-US"/>
        </w:rPr>
        <w:t>Minister Mentor’s Office, Ministry of Defence and Rodrigues</w:t>
      </w:r>
    </w:p>
    <w:p w:rsidR="003F76D0" w:rsidRPr="00BC005D" w:rsidRDefault="003F76D0" w:rsidP="003F76D0">
      <w:pPr>
        <w:spacing w:after="0" w:line="240" w:lineRule="auto"/>
        <w:jc w:val="center"/>
        <w:rPr>
          <w:rFonts w:ascii="Times New Roman" w:hAnsi="Times New Roman"/>
          <w:b/>
          <w:sz w:val="24"/>
          <w:szCs w:val="24"/>
          <w:lang w:val="en-US"/>
        </w:rPr>
      </w:pPr>
      <w:bookmarkStart w:id="0" w:name="defence"/>
      <w:bookmarkEnd w:id="0"/>
    </w:p>
    <w:p w:rsidR="003F76D0" w:rsidRPr="00BC005D" w:rsidRDefault="003F76D0" w:rsidP="003F76D0">
      <w:pPr>
        <w:spacing w:after="0" w:line="240" w:lineRule="auto"/>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Performance Audit on “</w:t>
      </w:r>
      <w:r w:rsidRPr="00BC005D">
        <w:rPr>
          <w:rFonts w:ascii="Times New Roman" w:eastAsia="Times New Roman" w:hAnsi="Times New Roman"/>
          <w:b/>
          <w:sz w:val="24"/>
          <w:szCs w:val="24"/>
          <w:lang w:eastAsia="en-GB"/>
        </w:rPr>
        <w:t>Management of the Fleet of VIP Vehicles</w:t>
      </w:r>
      <w:r>
        <w:rPr>
          <w:rFonts w:ascii="Times New Roman" w:eastAsia="Times New Roman" w:hAnsi="Times New Roman"/>
          <w:b/>
          <w:sz w:val="24"/>
          <w:szCs w:val="24"/>
          <w:lang w:eastAsia="en-GB"/>
        </w:rPr>
        <w:t>”</w:t>
      </w:r>
    </w:p>
    <w:p w:rsidR="003F76D0" w:rsidRPr="00BC005D" w:rsidRDefault="003F76D0" w:rsidP="003F76D0">
      <w:pPr>
        <w:spacing w:after="0" w:line="240" w:lineRule="auto"/>
        <w:jc w:val="center"/>
        <w:rPr>
          <w:rFonts w:ascii="Times New Roman" w:eastAsia="Times New Roman" w:hAnsi="Times New Roman"/>
          <w:b/>
          <w:sz w:val="24"/>
          <w:szCs w:val="24"/>
          <w:lang w:eastAsia="en-GB"/>
        </w:rPr>
      </w:pPr>
    </w:p>
    <w:p w:rsidR="003F76D0" w:rsidRPr="00BC005D" w:rsidRDefault="003F76D0" w:rsidP="003F76D0">
      <w:pPr>
        <w:keepNext/>
        <w:keepLines/>
        <w:spacing w:after="0" w:line="240" w:lineRule="auto"/>
        <w:contextualSpacing/>
        <w:jc w:val="center"/>
        <w:outlineLvl w:val="1"/>
        <w:rPr>
          <w:rFonts w:ascii="Times New Roman" w:eastAsia="Times New Roman" w:hAnsi="Times New Roman"/>
          <w:b/>
          <w:sz w:val="24"/>
          <w:szCs w:val="24"/>
        </w:rPr>
      </w:pPr>
      <w:r w:rsidRPr="00BC005D">
        <w:rPr>
          <w:rFonts w:ascii="Times New Roman" w:eastAsia="Times New Roman" w:hAnsi="Times New Roman"/>
          <w:b/>
          <w:sz w:val="24"/>
          <w:szCs w:val="24"/>
        </w:rPr>
        <w:t>Executive Summary</w:t>
      </w:r>
    </w:p>
    <w:p w:rsidR="003F76D0" w:rsidRPr="00BC005D" w:rsidRDefault="003F76D0" w:rsidP="003F76D0">
      <w:pPr>
        <w:keepNext/>
        <w:keepLines/>
        <w:spacing w:after="0" w:line="240" w:lineRule="auto"/>
        <w:contextualSpacing/>
        <w:jc w:val="center"/>
        <w:outlineLvl w:val="1"/>
        <w:rPr>
          <w:rFonts w:ascii="Times New Roman" w:eastAsia="Times New Roman" w:hAnsi="Times New Roman"/>
          <w:sz w:val="24"/>
          <w:szCs w:val="24"/>
        </w:rPr>
      </w:pPr>
    </w:p>
    <w:p w:rsidR="003F76D0" w:rsidRPr="00BC005D" w:rsidRDefault="003F76D0" w:rsidP="003F76D0">
      <w:pPr>
        <w:keepNext/>
        <w:keepLines/>
        <w:spacing w:after="0" w:line="240" w:lineRule="auto"/>
        <w:contextualSpacing/>
        <w:jc w:val="both"/>
        <w:outlineLvl w:val="1"/>
        <w:rPr>
          <w:rFonts w:ascii="Times New Roman" w:eastAsia="Times New Roman" w:hAnsi="Times New Roman"/>
          <w:bCs/>
          <w:sz w:val="24"/>
          <w:szCs w:val="24"/>
        </w:rPr>
      </w:pPr>
      <w:r w:rsidRPr="00BC005D">
        <w:rPr>
          <w:rFonts w:ascii="Times New Roman" w:eastAsia="Times New Roman" w:hAnsi="Times New Roman"/>
          <w:sz w:val="24"/>
          <w:szCs w:val="24"/>
        </w:rPr>
        <w:t>Vehicles are purchased by Government and allocated to Senior Government Officials under the “Government Official Car Scheme”, and to eligible Members of the National Assembly. Usually, after three or four years of use, these vehicles are sent to</w:t>
      </w:r>
      <w:r w:rsidRPr="00BC005D">
        <w:rPr>
          <w:rFonts w:ascii="Times New Roman" w:eastAsia="Times New Roman" w:hAnsi="Times New Roman"/>
          <w:color w:val="FF0000"/>
          <w:sz w:val="24"/>
          <w:szCs w:val="24"/>
        </w:rPr>
        <w:t xml:space="preserve"> </w:t>
      </w:r>
      <w:r w:rsidRPr="00BC005D">
        <w:rPr>
          <w:rFonts w:ascii="Times New Roman" w:eastAsia="Times New Roman" w:hAnsi="Times New Roman"/>
          <w:sz w:val="24"/>
          <w:szCs w:val="24"/>
        </w:rPr>
        <w:t>the VIP Car Pool Unit (VIPCPU) of the Police Service. The VIPCPU has been conferred the responsibility to operate, arrange for maintenance and disposal of this fleet of vehicles (referred as VIP vehicles). The key tasks include</w:t>
      </w:r>
      <w:r w:rsidRPr="00BC005D">
        <w:rPr>
          <w:rFonts w:ascii="Times New Roman" w:eastAsia="Times New Roman" w:hAnsi="Times New Roman"/>
          <w:bCs/>
          <w:sz w:val="24"/>
          <w:szCs w:val="24"/>
        </w:rPr>
        <w:t>:</w:t>
      </w:r>
    </w:p>
    <w:p w:rsidR="003F76D0" w:rsidRPr="00BC005D" w:rsidRDefault="003F76D0" w:rsidP="003F76D0">
      <w:pPr>
        <w:spacing w:after="0" w:line="240" w:lineRule="auto"/>
        <w:ind w:left="357"/>
        <w:jc w:val="both"/>
        <w:rPr>
          <w:rFonts w:ascii="Times New Roman" w:hAnsi="Times New Roman"/>
          <w:sz w:val="24"/>
          <w:szCs w:val="24"/>
          <w:lang w:val="en-US"/>
        </w:rPr>
      </w:pPr>
    </w:p>
    <w:p w:rsidR="003F76D0" w:rsidRPr="00BC005D" w:rsidRDefault="003F76D0" w:rsidP="003F76D0">
      <w:pPr>
        <w:numPr>
          <w:ilvl w:val="0"/>
          <w:numId w:val="4"/>
        </w:numPr>
        <w:autoSpaceDE w:val="0"/>
        <w:autoSpaceDN w:val="0"/>
        <w:adjustRightInd w:val="0"/>
        <w:spacing w:after="0" w:line="240" w:lineRule="auto"/>
        <w:ind w:left="357"/>
        <w:jc w:val="both"/>
        <w:rPr>
          <w:rFonts w:ascii="Times New Roman" w:hAnsi="Times New Roman"/>
          <w:sz w:val="24"/>
          <w:szCs w:val="24"/>
          <w:lang w:val="en-US"/>
        </w:rPr>
      </w:pPr>
      <w:r w:rsidRPr="00BC005D">
        <w:rPr>
          <w:rFonts w:ascii="Times New Roman" w:hAnsi="Times New Roman"/>
          <w:sz w:val="24"/>
          <w:szCs w:val="24"/>
          <w:lang w:val="en-US"/>
        </w:rPr>
        <w:t>Keep the vehicles in good running condition by arranging for their repair and maintenance in collaboration with the Mechanical Engineering Services (MES) of the Ministry of Public Infrastructure and Land Transport (MPILT);</w:t>
      </w:r>
    </w:p>
    <w:p w:rsidR="003F76D0" w:rsidRPr="00BC005D" w:rsidRDefault="003F76D0" w:rsidP="003F76D0">
      <w:pPr>
        <w:autoSpaceDE w:val="0"/>
        <w:autoSpaceDN w:val="0"/>
        <w:adjustRightInd w:val="0"/>
        <w:spacing w:after="0" w:line="240" w:lineRule="auto"/>
        <w:ind w:left="357"/>
        <w:jc w:val="both"/>
        <w:rPr>
          <w:rFonts w:ascii="Times New Roman" w:eastAsia="Times New Roman" w:hAnsi="Times New Roman"/>
          <w:bCs/>
          <w:sz w:val="24"/>
          <w:szCs w:val="24"/>
        </w:rPr>
      </w:pPr>
    </w:p>
    <w:p w:rsidR="003F76D0" w:rsidRPr="00BC005D" w:rsidRDefault="003F76D0" w:rsidP="003F76D0">
      <w:pPr>
        <w:numPr>
          <w:ilvl w:val="0"/>
          <w:numId w:val="4"/>
        </w:numPr>
        <w:autoSpaceDE w:val="0"/>
        <w:autoSpaceDN w:val="0"/>
        <w:adjustRightInd w:val="0"/>
        <w:spacing w:after="0" w:line="240" w:lineRule="auto"/>
        <w:ind w:left="357"/>
        <w:jc w:val="both"/>
        <w:rPr>
          <w:rFonts w:ascii="Times New Roman" w:eastAsia="Times New Roman" w:hAnsi="Times New Roman"/>
          <w:bCs/>
          <w:sz w:val="24"/>
          <w:szCs w:val="24"/>
        </w:rPr>
      </w:pPr>
      <w:r w:rsidRPr="00BC005D">
        <w:rPr>
          <w:rFonts w:ascii="Times New Roman" w:eastAsia="Times New Roman" w:hAnsi="Times New Roman"/>
          <w:bCs/>
          <w:sz w:val="24"/>
          <w:szCs w:val="24"/>
        </w:rPr>
        <w:t>Conveyance of VIPs during conference</w:t>
      </w:r>
      <w:r w:rsidR="00951D80">
        <w:rPr>
          <w:rFonts w:ascii="Times New Roman" w:eastAsia="Times New Roman" w:hAnsi="Times New Roman"/>
          <w:bCs/>
          <w:sz w:val="24"/>
          <w:szCs w:val="24"/>
        </w:rPr>
        <w:t xml:space="preserve">s and missions in Mauritius; </w:t>
      </w:r>
    </w:p>
    <w:p w:rsidR="003F76D0" w:rsidRPr="00BC005D" w:rsidRDefault="003F76D0" w:rsidP="003F76D0">
      <w:pPr>
        <w:autoSpaceDE w:val="0"/>
        <w:autoSpaceDN w:val="0"/>
        <w:adjustRightInd w:val="0"/>
        <w:spacing w:after="0" w:line="240" w:lineRule="auto"/>
        <w:ind w:left="357"/>
        <w:jc w:val="both"/>
        <w:rPr>
          <w:rFonts w:ascii="Times New Roman" w:eastAsia="Times New Roman" w:hAnsi="Times New Roman"/>
          <w:bCs/>
          <w:sz w:val="24"/>
          <w:szCs w:val="24"/>
        </w:rPr>
      </w:pPr>
    </w:p>
    <w:p w:rsidR="003F76D0" w:rsidRPr="00BC005D" w:rsidRDefault="003F76D0" w:rsidP="003F76D0">
      <w:pPr>
        <w:numPr>
          <w:ilvl w:val="0"/>
          <w:numId w:val="4"/>
        </w:numPr>
        <w:spacing w:after="0" w:line="240" w:lineRule="auto"/>
        <w:ind w:left="357"/>
        <w:jc w:val="both"/>
        <w:rPr>
          <w:rFonts w:ascii="Times New Roman" w:eastAsia="Times New Roman" w:hAnsi="Times New Roman"/>
          <w:bCs/>
          <w:sz w:val="24"/>
          <w:szCs w:val="24"/>
        </w:rPr>
      </w:pPr>
      <w:r w:rsidRPr="00BC005D">
        <w:rPr>
          <w:rFonts w:ascii="Times New Roman" w:eastAsia="Times New Roman" w:hAnsi="Times New Roman"/>
          <w:bCs/>
          <w:sz w:val="24"/>
          <w:szCs w:val="24"/>
        </w:rPr>
        <w:t>Refer surplus</w:t>
      </w:r>
      <w:r w:rsidRPr="00BC005D">
        <w:rPr>
          <w:rFonts w:ascii="Times New Roman" w:eastAsia="Times New Roman" w:hAnsi="Times New Roman"/>
          <w:bCs/>
          <w:color w:val="FF0000"/>
          <w:sz w:val="24"/>
          <w:szCs w:val="24"/>
        </w:rPr>
        <w:t xml:space="preserve"> </w:t>
      </w:r>
      <w:r w:rsidRPr="00BC005D">
        <w:rPr>
          <w:rFonts w:ascii="Times New Roman" w:eastAsia="Times New Roman" w:hAnsi="Times New Roman"/>
          <w:bCs/>
          <w:sz w:val="24"/>
          <w:szCs w:val="24"/>
        </w:rPr>
        <w:t>and</w:t>
      </w:r>
      <w:r w:rsidRPr="00BC005D">
        <w:rPr>
          <w:rFonts w:ascii="Times New Roman" w:eastAsia="Times New Roman" w:hAnsi="Times New Roman"/>
          <w:bCs/>
          <w:color w:val="FF0000"/>
          <w:sz w:val="24"/>
          <w:szCs w:val="24"/>
        </w:rPr>
        <w:t xml:space="preserve"> </w:t>
      </w:r>
      <w:r w:rsidRPr="00BC005D">
        <w:rPr>
          <w:rFonts w:ascii="Times New Roman" w:eastAsia="Times New Roman" w:hAnsi="Times New Roman"/>
          <w:bCs/>
          <w:sz w:val="24"/>
          <w:szCs w:val="24"/>
        </w:rPr>
        <w:t>beyond economic repair vehicles to Boards of Survey for eventual disposal.</w:t>
      </w:r>
    </w:p>
    <w:p w:rsidR="003F76D0" w:rsidRPr="00BC005D" w:rsidRDefault="003F76D0" w:rsidP="003F76D0">
      <w:pPr>
        <w:spacing w:after="0" w:line="240" w:lineRule="auto"/>
        <w:ind w:left="360"/>
        <w:jc w:val="both"/>
        <w:rPr>
          <w:rFonts w:ascii="Times New Roman" w:eastAsia="Times New Roman" w:hAnsi="Times New Roman"/>
          <w:bCs/>
          <w:sz w:val="24"/>
          <w:szCs w:val="24"/>
        </w:rPr>
      </w:pPr>
    </w:p>
    <w:p w:rsidR="003F76D0" w:rsidRPr="00BC005D" w:rsidRDefault="003F76D0" w:rsidP="003F76D0">
      <w:pPr>
        <w:spacing w:after="0" w:line="240" w:lineRule="auto"/>
        <w:jc w:val="both"/>
        <w:rPr>
          <w:rFonts w:ascii="Times New Roman" w:eastAsia="Times New Roman" w:hAnsi="Times New Roman"/>
          <w:sz w:val="24"/>
          <w:szCs w:val="24"/>
          <w:lang w:eastAsia="en-GB"/>
        </w:rPr>
      </w:pPr>
      <w:r w:rsidRPr="00BC005D">
        <w:rPr>
          <w:rFonts w:ascii="Times New Roman" w:eastAsia="Times New Roman" w:hAnsi="Times New Roman"/>
          <w:sz w:val="24"/>
          <w:szCs w:val="24"/>
          <w:lang w:eastAsia="en-GB"/>
        </w:rPr>
        <w:t>Provision of this VIP vehicle services forms part of the conditions of service of beneficiaries. The cost of providing these services includes the acquisition costs of these vehicles by the Ministries and Government Departments for their respective beneficiaries, and subsequent costs incurred by the Police Service once they are in the Pool. As at 31 August 2016, the Pool was reported to comprise 96 vehicles acquired at a total cost of some Rs 163 million (Duty Free).</w:t>
      </w:r>
    </w:p>
    <w:p w:rsidR="003F76D0" w:rsidRPr="00BC005D" w:rsidRDefault="003F76D0" w:rsidP="003F76D0">
      <w:pPr>
        <w:spacing w:after="0" w:line="240" w:lineRule="auto"/>
        <w:jc w:val="both"/>
        <w:rPr>
          <w:rFonts w:ascii="Times New Roman" w:eastAsia="Times New Roman" w:hAnsi="Times New Roman"/>
          <w:sz w:val="24"/>
          <w:szCs w:val="24"/>
          <w:lang w:eastAsia="en-GB"/>
        </w:rPr>
      </w:pPr>
    </w:p>
    <w:p w:rsidR="003F76D0" w:rsidRPr="00BC005D" w:rsidRDefault="003F76D0" w:rsidP="003F76D0">
      <w:pPr>
        <w:spacing w:after="0" w:line="240" w:lineRule="auto"/>
        <w:jc w:val="both"/>
        <w:rPr>
          <w:rFonts w:ascii="Times New Roman" w:eastAsia="Times New Roman" w:hAnsi="Times New Roman"/>
          <w:sz w:val="24"/>
          <w:szCs w:val="24"/>
          <w:lang w:eastAsia="en-GB"/>
        </w:rPr>
      </w:pPr>
      <w:r w:rsidRPr="00BC005D">
        <w:rPr>
          <w:rFonts w:ascii="Times New Roman" w:eastAsia="Times New Roman" w:hAnsi="Times New Roman"/>
          <w:sz w:val="24"/>
          <w:szCs w:val="24"/>
          <w:lang w:eastAsia="en-GB"/>
        </w:rPr>
        <w:t xml:space="preserve">The National Audit Office (NAO) had previously reported that VIP vehicles in the Pool were costly to maintain, underutilised and fetched relatively low disposal proceeds at public auctions, and were subject to damage through exposure to inclement weather in the absence of shelters. It was against this background that the NAO carried out this Performance Audit with the objective to assess whether </w:t>
      </w:r>
      <w:r w:rsidRPr="00BC005D">
        <w:rPr>
          <w:rFonts w:ascii="Times New Roman" w:eastAsia="Times New Roman" w:hAnsi="Times New Roman"/>
          <w:sz w:val="24"/>
          <w:szCs w:val="24"/>
        </w:rPr>
        <w:t>VIP vehicles from the Pool were being provided at minimum cost for their intended purposes and services.</w:t>
      </w:r>
    </w:p>
    <w:p w:rsidR="003F76D0" w:rsidRPr="00BC005D" w:rsidRDefault="003F76D0" w:rsidP="003F76D0">
      <w:pPr>
        <w:autoSpaceDE w:val="0"/>
        <w:autoSpaceDN w:val="0"/>
        <w:adjustRightInd w:val="0"/>
        <w:spacing w:after="0" w:line="240" w:lineRule="auto"/>
        <w:jc w:val="both"/>
        <w:rPr>
          <w:rFonts w:ascii="Times New Roman" w:eastAsia="Times New Roman" w:hAnsi="Times New Roman"/>
          <w:bCs/>
          <w:sz w:val="24"/>
          <w:szCs w:val="24"/>
          <w:lang w:eastAsia="en-GB"/>
        </w:rPr>
      </w:pPr>
    </w:p>
    <w:p w:rsidR="003F76D0" w:rsidRPr="00BC005D" w:rsidRDefault="003F76D0" w:rsidP="003F76D0">
      <w:pPr>
        <w:autoSpaceDE w:val="0"/>
        <w:autoSpaceDN w:val="0"/>
        <w:adjustRightInd w:val="0"/>
        <w:spacing w:after="0" w:line="240" w:lineRule="auto"/>
        <w:jc w:val="both"/>
        <w:rPr>
          <w:rFonts w:ascii="Times New Roman" w:eastAsia="Times New Roman" w:hAnsi="Times New Roman"/>
          <w:bCs/>
          <w:sz w:val="24"/>
          <w:szCs w:val="24"/>
          <w:lang w:eastAsia="en-GB"/>
        </w:rPr>
      </w:pPr>
    </w:p>
    <w:p w:rsidR="003F76D0" w:rsidRPr="00BC005D" w:rsidRDefault="003F76D0" w:rsidP="003F76D0">
      <w:pPr>
        <w:spacing w:after="0" w:line="240" w:lineRule="auto"/>
        <w:jc w:val="both"/>
        <w:rPr>
          <w:rFonts w:ascii="Times New Roman" w:eastAsia="Times New Roman" w:hAnsi="Times New Roman"/>
          <w:b/>
          <w:sz w:val="24"/>
          <w:szCs w:val="24"/>
          <w:lang w:eastAsia="en-GB"/>
        </w:rPr>
      </w:pPr>
      <w:r w:rsidRPr="00BC005D">
        <w:rPr>
          <w:rFonts w:ascii="Times New Roman" w:eastAsia="Times New Roman" w:hAnsi="Times New Roman"/>
          <w:b/>
          <w:sz w:val="24"/>
          <w:szCs w:val="24"/>
          <w:lang w:eastAsia="en-GB"/>
        </w:rPr>
        <w:t>Key Findings</w:t>
      </w:r>
    </w:p>
    <w:p w:rsidR="003F76D0" w:rsidRPr="00BC005D" w:rsidRDefault="003F76D0" w:rsidP="003F76D0">
      <w:pPr>
        <w:spacing w:after="0" w:line="240" w:lineRule="auto"/>
        <w:jc w:val="both"/>
        <w:rPr>
          <w:rFonts w:ascii="Times New Roman" w:eastAsia="Times New Roman" w:hAnsi="Times New Roman"/>
          <w:b/>
          <w:sz w:val="24"/>
          <w:szCs w:val="24"/>
          <w:lang w:eastAsia="en-GB"/>
        </w:rPr>
      </w:pPr>
    </w:p>
    <w:p w:rsidR="003F76D0" w:rsidRPr="00BC005D" w:rsidRDefault="003F76D0" w:rsidP="003F76D0">
      <w:pPr>
        <w:spacing w:after="0" w:line="240" w:lineRule="auto"/>
        <w:jc w:val="both"/>
        <w:rPr>
          <w:rFonts w:ascii="Times New Roman" w:eastAsia="Times New Roman" w:hAnsi="Times New Roman"/>
          <w:b/>
          <w:i/>
          <w:sz w:val="24"/>
          <w:szCs w:val="24"/>
        </w:rPr>
      </w:pPr>
      <w:r w:rsidRPr="00BC005D">
        <w:rPr>
          <w:rFonts w:ascii="Times New Roman" w:eastAsia="Times New Roman" w:hAnsi="Times New Roman"/>
          <w:b/>
          <w:i/>
          <w:sz w:val="24"/>
          <w:szCs w:val="24"/>
        </w:rPr>
        <w:t>Right Fleet Sizing to Minimise Holding Cost of VIP Vehicles</w:t>
      </w:r>
    </w:p>
    <w:p w:rsidR="003F76D0" w:rsidRPr="00BC005D" w:rsidRDefault="003F76D0" w:rsidP="003F76D0">
      <w:pPr>
        <w:spacing w:after="0" w:line="240" w:lineRule="auto"/>
        <w:jc w:val="both"/>
        <w:rPr>
          <w:rFonts w:ascii="Times New Roman" w:eastAsia="Times New Roman" w:hAnsi="Times New Roman"/>
          <w:b/>
          <w:sz w:val="24"/>
          <w:szCs w:val="24"/>
        </w:rPr>
      </w:pPr>
    </w:p>
    <w:p w:rsidR="003F76D0" w:rsidRPr="00BC005D" w:rsidRDefault="003F76D0" w:rsidP="003F76D0">
      <w:pPr>
        <w:numPr>
          <w:ilvl w:val="0"/>
          <w:numId w:val="5"/>
        </w:numPr>
        <w:spacing w:after="0" w:line="240" w:lineRule="auto"/>
        <w:ind w:left="426" w:hanging="426"/>
        <w:contextualSpacing/>
        <w:jc w:val="both"/>
        <w:rPr>
          <w:rFonts w:ascii="Times New Roman" w:eastAsia="Times New Roman" w:hAnsi="Times New Roman"/>
          <w:sz w:val="24"/>
          <w:szCs w:val="24"/>
        </w:rPr>
      </w:pPr>
      <w:r w:rsidRPr="00BC005D">
        <w:rPr>
          <w:rFonts w:ascii="Times New Roman" w:eastAsia="Times New Roman" w:hAnsi="Times New Roman"/>
          <w:sz w:val="24"/>
          <w:szCs w:val="24"/>
        </w:rPr>
        <w:t>The VIP fleet was not properly sized with an appropriate number of vehicles and with the required specifications for service delivery. Some</w:t>
      </w:r>
      <w:r w:rsidRPr="00BC005D">
        <w:rPr>
          <w:rFonts w:ascii="Times New Roman" w:eastAsia="Times New Roman" w:hAnsi="Times New Roman"/>
          <w:color w:val="00B0F0"/>
          <w:sz w:val="24"/>
          <w:szCs w:val="24"/>
        </w:rPr>
        <w:t xml:space="preserve"> </w:t>
      </w:r>
      <w:r w:rsidRPr="00BC005D">
        <w:rPr>
          <w:rFonts w:ascii="Times New Roman" w:eastAsia="Times New Roman" w:hAnsi="Times New Roman"/>
          <w:sz w:val="24"/>
          <w:szCs w:val="24"/>
        </w:rPr>
        <w:t>70 VIP vehicles, as reported by the VIPCPU, were required on a daily basis to provide the required services. However, the Unit was able to provide the same service with less than the 70 vehicles. The Unit did not ascertain the precise number of vehicles in running condition in the Pool in its Monthly Returns. Our analysis showed that this number increased</w:t>
      </w:r>
      <w:r w:rsidRPr="00BC005D">
        <w:rPr>
          <w:rFonts w:ascii="Times New Roman" w:eastAsia="Times New Roman" w:hAnsi="Times New Roman"/>
          <w:color w:val="FF0000"/>
          <w:sz w:val="24"/>
          <w:szCs w:val="24"/>
        </w:rPr>
        <w:t xml:space="preserve"> </w:t>
      </w:r>
      <w:r w:rsidRPr="00BC005D">
        <w:rPr>
          <w:rFonts w:ascii="Times New Roman" w:eastAsia="Times New Roman" w:hAnsi="Times New Roman"/>
          <w:sz w:val="24"/>
          <w:szCs w:val="24"/>
        </w:rPr>
        <w:t>from 80 in January 2014 to reach 104 in January 2017;</w:t>
      </w:r>
    </w:p>
    <w:p w:rsidR="003F76D0" w:rsidRPr="00BC005D" w:rsidRDefault="003F76D0" w:rsidP="003F76D0">
      <w:pPr>
        <w:spacing w:after="0" w:line="240" w:lineRule="auto"/>
        <w:jc w:val="both"/>
        <w:rPr>
          <w:rFonts w:ascii="Times New Roman" w:eastAsia="Times New Roman" w:hAnsi="Times New Roman"/>
          <w:sz w:val="24"/>
          <w:szCs w:val="24"/>
        </w:rPr>
      </w:pPr>
    </w:p>
    <w:p w:rsidR="003F76D0" w:rsidRDefault="003F76D0" w:rsidP="003F76D0">
      <w:pPr>
        <w:numPr>
          <w:ilvl w:val="0"/>
          <w:numId w:val="5"/>
        </w:numPr>
        <w:spacing w:after="0" w:line="240" w:lineRule="auto"/>
        <w:ind w:left="426" w:hanging="426"/>
        <w:contextualSpacing/>
        <w:jc w:val="both"/>
        <w:rPr>
          <w:rFonts w:ascii="Times New Roman" w:eastAsia="Times New Roman" w:hAnsi="Times New Roman"/>
          <w:sz w:val="24"/>
          <w:szCs w:val="24"/>
        </w:rPr>
      </w:pPr>
      <w:r w:rsidRPr="00BC005D">
        <w:rPr>
          <w:rFonts w:ascii="Times New Roman" w:eastAsia="Times New Roman" w:hAnsi="Times New Roman"/>
          <w:sz w:val="24"/>
          <w:szCs w:val="24"/>
        </w:rPr>
        <w:lastRenderedPageBreak/>
        <w:t>Service users’ requirements were not constantly matched with number and type of vehicles in the fleet. There was mismatch between the number of beneficiaries with specific eligibilities and corresponding number of vehicles. The actual usage for relieving/ allocation of the different categories of VIP vehicles was in the range 10 to 20 per cent, indicating surplus capacity in terms of</w:t>
      </w:r>
      <w:r w:rsidRPr="00BC005D">
        <w:rPr>
          <w:rFonts w:ascii="Times New Roman" w:eastAsia="Times New Roman" w:hAnsi="Times New Roman"/>
          <w:color w:val="FF0000"/>
          <w:sz w:val="24"/>
          <w:szCs w:val="24"/>
        </w:rPr>
        <w:t xml:space="preserve"> </w:t>
      </w:r>
      <w:r w:rsidRPr="00BC005D">
        <w:rPr>
          <w:rFonts w:ascii="Times New Roman" w:eastAsia="Times New Roman" w:hAnsi="Times New Roman"/>
          <w:sz w:val="24"/>
          <w:szCs w:val="24"/>
        </w:rPr>
        <w:t>mix and number in each category;</w:t>
      </w:r>
    </w:p>
    <w:p w:rsidR="003F76D0" w:rsidRPr="00BC005D" w:rsidRDefault="003F76D0" w:rsidP="003F76D0">
      <w:pPr>
        <w:spacing w:after="0" w:line="240" w:lineRule="auto"/>
        <w:contextualSpacing/>
        <w:jc w:val="both"/>
        <w:rPr>
          <w:rFonts w:ascii="Times New Roman" w:eastAsia="Times New Roman" w:hAnsi="Times New Roman"/>
          <w:sz w:val="24"/>
          <w:szCs w:val="24"/>
        </w:rPr>
      </w:pPr>
    </w:p>
    <w:p w:rsidR="003F76D0" w:rsidRPr="00BC005D" w:rsidRDefault="003F76D0" w:rsidP="003F76D0">
      <w:pPr>
        <w:numPr>
          <w:ilvl w:val="0"/>
          <w:numId w:val="5"/>
        </w:numPr>
        <w:spacing w:after="0" w:line="240" w:lineRule="auto"/>
        <w:ind w:left="426" w:hanging="426"/>
        <w:contextualSpacing/>
        <w:jc w:val="both"/>
        <w:rPr>
          <w:rFonts w:ascii="Times New Roman" w:eastAsia="Times New Roman" w:hAnsi="Times New Roman"/>
          <w:sz w:val="24"/>
          <w:szCs w:val="24"/>
        </w:rPr>
      </w:pPr>
      <w:r w:rsidRPr="00BC005D">
        <w:rPr>
          <w:rFonts w:ascii="Times New Roman" w:eastAsia="Times New Roman" w:hAnsi="Times New Roman"/>
          <w:sz w:val="24"/>
          <w:szCs w:val="24"/>
        </w:rPr>
        <w:t>Vehicles in the Pool spent more time undergoing repairs than actually being used for purposes like conference, workshops, and duty. Also, time spent standing idle in Line Barracks Compound was three times as much as that for performing tasks, such as relieving duties for which the fleet has been set up;</w:t>
      </w:r>
    </w:p>
    <w:p w:rsidR="003F76D0" w:rsidRPr="00BC005D" w:rsidRDefault="003F76D0" w:rsidP="003F76D0">
      <w:pPr>
        <w:spacing w:after="0" w:line="240" w:lineRule="auto"/>
        <w:ind w:left="426" w:hanging="426"/>
        <w:contextualSpacing/>
        <w:rPr>
          <w:rFonts w:ascii="Times New Roman" w:eastAsia="Times New Roman" w:hAnsi="Times New Roman"/>
          <w:sz w:val="24"/>
          <w:szCs w:val="24"/>
        </w:rPr>
      </w:pPr>
    </w:p>
    <w:p w:rsidR="003F76D0" w:rsidRPr="00BC005D" w:rsidRDefault="003F76D0" w:rsidP="003F76D0">
      <w:pPr>
        <w:numPr>
          <w:ilvl w:val="0"/>
          <w:numId w:val="5"/>
        </w:numPr>
        <w:spacing w:after="0" w:line="240" w:lineRule="auto"/>
        <w:ind w:left="426" w:hanging="426"/>
        <w:contextualSpacing/>
        <w:jc w:val="both"/>
        <w:rPr>
          <w:rFonts w:ascii="Times New Roman" w:eastAsia="Times New Roman" w:hAnsi="Times New Roman"/>
          <w:sz w:val="24"/>
          <w:szCs w:val="24"/>
        </w:rPr>
      </w:pPr>
      <w:r w:rsidRPr="00BC005D">
        <w:rPr>
          <w:rFonts w:ascii="Times New Roman" w:eastAsia="Times New Roman" w:hAnsi="Times New Roman"/>
          <w:sz w:val="24"/>
          <w:szCs w:val="24"/>
        </w:rPr>
        <w:t>Information  contained in the Monthly Return on the fleet was insufficient to support adequate oversight on fleet size, usage and cost;</w:t>
      </w:r>
    </w:p>
    <w:p w:rsidR="003F76D0" w:rsidRPr="00BC005D" w:rsidRDefault="003F76D0" w:rsidP="003F76D0">
      <w:pPr>
        <w:spacing w:after="0" w:line="240" w:lineRule="auto"/>
        <w:ind w:left="426" w:hanging="426"/>
        <w:contextualSpacing/>
        <w:rPr>
          <w:rFonts w:ascii="Times New Roman" w:eastAsia="Times New Roman" w:hAnsi="Times New Roman"/>
          <w:sz w:val="24"/>
          <w:szCs w:val="24"/>
        </w:rPr>
      </w:pPr>
    </w:p>
    <w:p w:rsidR="003F76D0" w:rsidRPr="00BC005D" w:rsidRDefault="003F76D0" w:rsidP="003F76D0">
      <w:pPr>
        <w:numPr>
          <w:ilvl w:val="0"/>
          <w:numId w:val="5"/>
        </w:numPr>
        <w:spacing w:after="0" w:line="240" w:lineRule="auto"/>
        <w:ind w:left="426" w:hanging="426"/>
        <w:contextualSpacing/>
        <w:jc w:val="both"/>
        <w:rPr>
          <w:rFonts w:ascii="Times New Roman" w:eastAsia="Times New Roman" w:hAnsi="Times New Roman"/>
          <w:sz w:val="24"/>
          <w:szCs w:val="24"/>
        </w:rPr>
      </w:pPr>
      <w:r w:rsidRPr="00BC005D">
        <w:rPr>
          <w:rFonts w:ascii="Times New Roman" w:eastAsia="Times New Roman" w:hAnsi="Times New Roman"/>
          <w:sz w:val="24"/>
          <w:szCs w:val="24"/>
        </w:rPr>
        <w:t>Good practices in fleet management require the computation of the average monthly holding cost of vehicles to ascertain that services are provided at minimum cost. However, this was not being computed to provide an indication on the holding</w:t>
      </w:r>
      <w:r w:rsidRPr="00BC005D">
        <w:rPr>
          <w:rFonts w:ascii="Times New Roman" w:eastAsia="Times New Roman" w:hAnsi="Times New Roman"/>
          <w:color w:val="FF0000"/>
          <w:sz w:val="24"/>
          <w:szCs w:val="24"/>
        </w:rPr>
        <w:t xml:space="preserve"> </w:t>
      </w:r>
      <w:r w:rsidRPr="00BC005D">
        <w:rPr>
          <w:rFonts w:ascii="Times New Roman" w:eastAsia="Times New Roman" w:hAnsi="Times New Roman"/>
          <w:sz w:val="24"/>
          <w:szCs w:val="24"/>
        </w:rPr>
        <w:t>cost of underutilised vehicles.</w:t>
      </w:r>
    </w:p>
    <w:p w:rsidR="003F76D0" w:rsidRPr="00BC005D" w:rsidRDefault="003F76D0" w:rsidP="003F76D0">
      <w:pPr>
        <w:spacing w:after="0" w:line="240" w:lineRule="auto"/>
        <w:jc w:val="both"/>
        <w:rPr>
          <w:rFonts w:ascii="Times New Roman" w:eastAsia="Times New Roman" w:hAnsi="Times New Roman"/>
          <w:sz w:val="24"/>
          <w:szCs w:val="24"/>
        </w:rPr>
      </w:pPr>
    </w:p>
    <w:p w:rsidR="003F76D0" w:rsidRPr="00BC005D" w:rsidRDefault="003F76D0" w:rsidP="003F76D0">
      <w:pPr>
        <w:spacing w:after="0" w:line="240" w:lineRule="auto"/>
        <w:rPr>
          <w:rFonts w:ascii="Times New Roman" w:eastAsia="Times New Roman" w:hAnsi="Times New Roman"/>
          <w:b/>
          <w:i/>
          <w:sz w:val="24"/>
          <w:szCs w:val="24"/>
        </w:rPr>
      </w:pPr>
      <w:r w:rsidRPr="00BC005D">
        <w:rPr>
          <w:rFonts w:ascii="Times New Roman" w:eastAsia="Times New Roman" w:hAnsi="Times New Roman"/>
          <w:b/>
          <w:i/>
          <w:sz w:val="24"/>
          <w:szCs w:val="24"/>
        </w:rPr>
        <w:t>Maintenance of VIP Vehicles at Minimum Cost</w:t>
      </w:r>
    </w:p>
    <w:p w:rsidR="003F76D0" w:rsidRPr="00BC005D" w:rsidRDefault="003F76D0" w:rsidP="003F76D0">
      <w:pPr>
        <w:spacing w:after="0" w:line="240" w:lineRule="auto"/>
        <w:ind w:left="720"/>
        <w:contextualSpacing/>
        <w:rPr>
          <w:rFonts w:ascii="Times New Roman" w:eastAsia="Times New Roman" w:hAnsi="Times New Roman"/>
          <w:b/>
          <w:sz w:val="24"/>
          <w:szCs w:val="24"/>
        </w:rPr>
      </w:pPr>
    </w:p>
    <w:p w:rsidR="003F76D0" w:rsidRPr="00BC005D" w:rsidRDefault="003F76D0" w:rsidP="003F76D0">
      <w:pPr>
        <w:numPr>
          <w:ilvl w:val="0"/>
          <w:numId w:val="7"/>
        </w:numPr>
        <w:spacing w:after="0" w:line="240" w:lineRule="auto"/>
        <w:contextualSpacing/>
        <w:jc w:val="both"/>
        <w:rPr>
          <w:rFonts w:ascii="Times New Roman" w:eastAsia="Times New Roman" w:hAnsi="Times New Roman"/>
          <w:sz w:val="24"/>
          <w:szCs w:val="24"/>
        </w:rPr>
      </w:pPr>
      <w:r w:rsidRPr="00BC005D">
        <w:rPr>
          <w:rFonts w:ascii="Times New Roman" w:eastAsia="Times New Roman" w:hAnsi="Times New Roman"/>
          <w:sz w:val="24"/>
          <w:szCs w:val="24"/>
        </w:rPr>
        <w:t>Vehicles in the Pool were repaired and maintained irrespective of their utilisation rate and of whether they were excess to requirement. Vehicles which were lying idle had to be maintained and repaired. This unnecessarily increased the repair and maintenance cost;</w:t>
      </w:r>
    </w:p>
    <w:p w:rsidR="003F76D0" w:rsidRPr="00BC005D" w:rsidRDefault="003F76D0" w:rsidP="003F76D0">
      <w:pPr>
        <w:spacing w:after="0" w:line="240" w:lineRule="auto"/>
        <w:ind w:left="360"/>
        <w:contextualSpacing/>
        <w:jc w:val="both"/>
        <w:rPr>
          <w:rFonts w:ascii="Times New Roman" w:eastAsia="Times New Roman" w:hAnsi="Times New Roman"/>
          <w:sz w:val="24"/>
          <w:szCs w:val="24"/>
        </w:rPr>
      </w:pPr>
    </w:p>
    <w:p w:rsidR="003F76D0" w:rsidRPr="00BC005D" w:rsidRDefault="003F76D0" w:rsidP="003F76D0">
      <w:pPr>
        <w:numPr>
          <w:ilvl w:val="0"/>
          <w:numId w:val="7"/>
        </w:numPr>
        <w:spacing w:after="0" w:line="240" w:lineRule="auto"/>
        <w:contextualSpacing/>
        <w:jc w:val="both"/>
        <w:rPr>
          <w:rFonts w:ascii="Times New Roman" w:eastAsia="Times New Roman" w:hAnsi="Times New Roman"/>
          <w:sz w:val="24"/>
          <w:szCs w:val="24"/>
        </w:rPr>
      </w:pPr>
      <w:r w:rsidRPr="00BC005D">
        <w:rPr>
          <w:rFonts w:ascii="Times New Roman" w:eastAsia="Times New Roman" w:hAnsi="Times New Roman"/>
          <w:sz w:val="24"/>
          <w:szCs w:val="24"/>
        </w:rPr>
        <w:t>In its Circular No 17 of 2012, the Ministry of Finance and Economic Development (</w:t>
      </w:r>
      <w:proofErr w:type="spellStart"/>
      <w:r w:rsidRPr="00BC005D">
        <w:rPr>
          <w:rFonts w:ascii="Times New Roman" w:eastAsia="Times New Roman" w:hAnsi="Times New Roman"/>
          <w:sz w:val="24"/>
          <w:szCs w:val="24"/>
        </w:rPr>
        <w:t>MoFED</w:t>
      </w:r>
      <w:proofErr w:type="spellEnd"/>
      <w:r w:rsidRPr="00BC005D">
        <w:rPr>
          <w:rFonts w:ascii="Times New Roman" w:eastAsia="Times New Roman" w:hAnsi="Times New Roman"/>
          <w:sz w:val="24"/>
          <w:szCs w:val="24"/>
        </w:rPr>
        <w:t xml:space="preserve">) recommended the calculation of “economic lives” of vehicles. Instead of maintenance and repairs being based on “economic lives”, ageing vehicles were continuously maintained and repaired until future costs were high.  This brought marginal value to the fleet when compared to the costs incurred. </w:t>
      </w:r>
    </w:p>
    <w:p w:rsidR="003F76D0" w:rsidRPr="00BC005D" w:rsidRDefault="003F76D0" w:rsidP="003F76D0">
      <w:pPr>
        <w:spacing w:after="0" w:line="240" w:lineRule="auto"/>
        <w:ind w:left="1080"/>
        <w:contextualSpacing/>
        <w:jc w:val="both"/>
        <w:rPr>
          <w:rFonts w:ascii="Times New Roman" w:eastAsia="Times New Roman" w:hAnsi="Times New Roman"/>
          <w:sz w:val="24"/>
          <w:szCs w:val="24"/>
        </w:rPr>
      </w:pPr>
    </w:p>
    <w:p w:rsidR="003F76D0" w:rsidRPr="00BC005D" w:rsidRDefault="003F76D0" w:rsidP="003F76D0">
      <w:pPr>
        <w:spacing w:after="0" w:line="240" w:lineRule="auto"/>
        <w:rPr>
          <w:rFonts w:ascii="Times New Roman" w:eastAsia="Times New Roman" w:hAnsi="Times New Roman"/>
          <w:b/>
          <w:i/>
          <w:sz w:val="24"/>
          <w:szCs w:val="24"/>
        </w:rPr>
      </w:pPr>
      <w:r w:rsidRPr="00BC005D">
        <w:rPr>
          <w:rFonts w:ascii="Times New Roman" w:eastAsia="Times New Roman" w:hAnsi="Times New Roman"/>
          <w:b/>
          <w:i/>
          <w:sz w:val="24"/>
          <w:szCs w:val="24"/>
        </w:rPr>
        <w:t>Maximum Proceeds from Disposal of VIP Vehicles</w:t>
      </w:r>
    </w:p>
    <w:p w:rsidR="003F76D0" w:rsidRPr="00BC005D" w:rsidRDefault="003F76D0" w:rsidP="003F76D0">
      <w:pPr>
        <w:spacing w:after="0" w:line="240" w:lineRule="auto"/>
        <w:ind w:left="720"/>
        <w:rPr>
          <w:rFonts w:ascii="Times New Roman" w:eastAsia="Times New Roman" w:hAnsi="Times New Roman"/>
          <w:b/>
          <w:sz w:val="24"/>
          <w:szCs w:val="24"/>
        </w:rPr>
      </w:pPr>
    </w:p>
    <w:p w:rsidR="003F76D0" w:rsidRPr="00BC005D" w:rsidRDefault="003F76D0" w:rsidP="003F76D0">
      <w:pPr>
        <w:numPr>
          <w:ilvl w:val="0"/>
          <w:numId w:val="8"/>
        </w:numPr>
        <w:spacing w:after="0" w:line="240" w:lineRule="auto"/>
        <w:contextualSpacing/>
        <w:jc w:val="both"/>
        <w:rPr>
          <w:rFonts w:ascii="Times New Roman" w:eastAsia="Times New Roman" w:hAnsi="Times New Roman"/>
          <w:sz w:val="24"/>
          <w:szCs w:val="24"/>
        </w:rPr>
      </w:pPr>
      <w:r w:rsidRPr="00BC005D">
        <w:rPr>
          <w:rFonts w:ascii="Times New Roman" w:eastAsia="Times New Roman" w:hAnsi="Times New Roman"/>
          <w:sz w:val="24"/>
          <w:szCs w:val="24"/>
        </w:rPr>
        <w:t>The Board of Survey (</w:t>
      </w:r>
      <w:proofErr w:type="spellStart"/>
      <w:r w:rsidRPr="00BC005D">
        <w:rPr>
          <w:rFonts w:ascii="Times New Roman" w:eastAsia="Times New Roman" w:hAnsi="Times New Roman"/>
          <w:sz w:val="24"/>
          <w:szCs w:val="24"/>
        </w:rPr>
        <w:t>BoS</w:t>
      </w:r>
      <w:proofErr w:type="spellEnd"/>
      <w:r w:rsidRPr="00BC005D">
        <w:rPr>
          <w:rFonts w:ascii="Times New Roman" w:eastAsia="Times New Roman" w:hAnsi="Times New Roman"/>
          <w:sz w:val="24"/>
          <w:szCs w:val="24"/>
        </w:rPr>
        <w:t>) team was involved in the survey of 47 boarded vehicles in July 2016 and fixing their Minimum Reserved Prices (MRPs). None of the members of the team had received training in valuation of vehicles, and the team was not</w:t>
      </w:r>
      <w:r w:rsidRPr="00BC005D">
        <w:rPr>
          <w:rFonts w:ascii="Times New Roman" w:eastAsia="Times New Roman" w:hAnsi="Times New Roman"/>
          <w:color w:val="FF0000"/>
          <w:sz w:val="24"/>
          <w:szCs w:val="24"/>
        </w:rPr>
        <w:t xml:space="preserve"> </w:t>
      </w:r>
      <w:r w:rsidRPr="00BC005D">
        <w:rPr>
          <w:rFonts w:ascii="Times New Roman" w:eastAsia="Times New Roman" w:hAnsi="Times New Roman"/>
          <w:sz w:val="24"/>
          <w:szCs w:val="24"/>
        </w:rPr>
        <w:t xml:space="preserve">supported by personnel having such expertise.  This </w:t>
      </w:r>
      <w:r w:rsidRPr="00BC005D">
        <w:rPr>
          <w:rFonts w:ascii="Times New Roman" w:hAnsi="Times New Roman"/>
          <w:sz w:val="24"/>
          <w:szCs w:val="24"/>
        </w:rPr>
        <w:t>did not ensure that bidding during auction, started with a minimum price that reflected the market value of these vehicles;</w:t>
      </w:r>
    </w:p>
    <w:p w:rsidR="003F76D0" w:rsidRPr="00BC005D" w:rsidRDefault="003F76D0" w:rsidP="003F76D0">
      <w:pPr>
        <w:spacing w:after="0" w:line="240" w:lineRule="auto"/>
        <w:ind w:left="360"/>
        <w:contextualSpacing/>
        <w:jc w:val="both"/>
        <w:rPr>
          <w:rFonts w:ascii="Times New Roman" w:eastAsia="Times New Roman" w:hAnsi="Times New Roman"/>
          <w:sz w:val="24"/>
          <w:szCs w:val="24"/>
        </w:rPr>
      </w:pPr>
    </w:p>
    <w:p w:rsidR="003F76D0" w:rsidRPr="00BC005D" w:rsidRDefault="003F76D0" w:rsidP="003F76D0">
      <w:pPr>
        <w:numPr>
          <w:ilvl w:val="0"/>
          <w:numId w:val="8"/>
        </w:numPr>
        <w:spacing w:after="0" w:line="240" w:lineRule="auto"/>
        <w:contextualSpacing/>
        <w:jc w:val="both"/>
        <w:rPr>
          <w:rFonts w:ascii="Times New Roman" w:eastAsia="Times New Roman" w:hAnsi="Times New Roman"/>
          <w:sz w:val="24"/>
          <w:szCs w:val="24"/>
        </w:rPr>
      </w:pPr>
      <w:r w:rsidRPr="00BC005D">
        <w:rPr>
          <w:rFonts w:ascii="Times New Roman" w:eastAsia="Times New Roman" w:hAnsi="Times New Roman"/>
          <w:sz w:val="24"/>
          <w:szCs w:val="24"/>
        </w:rPr>
        <w:t xml:space="preserve">The disposal process of VIP vehicles took at least one year. In the meantime, the vehicles remained idle and were subject to impairment due to the </w:t>
      </w:r>
      <w:proofErr w:type="spellStart"/>
      <w:r w:rsidRPr="00BC005D">
        <w:rPr>
          <w:rFonts w:ascii="Times New Roman" w:eastAsia="Times New Roman" w:hAnsi="Times New Roman"/>
          <w:sz w:val="24"/>
          <w:szCs w:val="24"/>
        </w:rPr>
        <w:t>inclemencies</w:t>
      </w:r>
      <w:proofErr w:type="spellEnd"/>
      <w:r w:rsidRPr="00BC005D">
        <w:rPr>
          <w:rFonts w:ascii="Times New Roman" w:eastAsia="Times New Roman" w:hAnsi="Times New Roman"/>
          <w:sz w:val="24"/>
          <w:szCs w:val="24"/>
        </w:rPr>
        <w:t xml:space="preserve"> of weather and ageing, which impacted negatively on their disposal value.</w:t>
      </w:r>
    </w:p>
    <w:p w:rsidR="003F76D0" w:rsidRPr="00BC005D" w:rsidRDefault="003F76D0" w:rsidP="003F76D0">
      <w:pPr>
        <w:spacing w:after="0" w:line="240" w:lineRule="auto"/>
        <w:rPr>
          <w:rFonts w:ascii="Times New Roman" w:eastAsia="Times New Roman" w:hAnsi="Times New Roman"/>
          <w:b/>
          <w:sz w:val="24"/>
          <w:szCs w:val="24"/>
        </w:rPr>
      </w:pPr>
    </w:p>
    <w:p w:rsidR="003F76D0" w:rsidRPr="00BC005D" w:rsidRDefault="003F76D0" w:rsidP="003F76D0">
      <w:pPr>
        <w:spacing w:after="0" w:line="240" w:lineRule="auto"/>
        <w:rPr>
          <w:rFonts w:ascii="Times New Roman" w:eastAsia="Times New Roman" w:hAnsi="Times New Roman"/>
          <w:b/>
          <w:sz w:val="24"/>
          <w:szCs w:val="24"/>
        </w:rPr>
      </w:pPr>
    </w:p>
    <w:p w:rsidR="003F76D0" w:rsidRPr="00BC005D" w:rsidRDefault="003F76D0" w:rsidP="003F76D0">
      <w:pPr>
        <w:spacing w:after="0" w:line="240" w:lineRule="auto"/>
        <w:rPr>
          <w:rFonts w:ascii="Times New Roman" w:eastAsia="Times New Roman" w:hAnsi="Times New Roman"/>
          <w:b/>
          <w:sz w:val="24"/>
          <w:szCs w:val="24"/>
        </w:rPr>
      </w:pPr>
      <w:r w:rsidRPr="00BC005D">
        <w:rPr>
          <w:rFonts w:ascii="Times New Roman" w:eastAsia="Times New Roman" w:hAnsi="Times New Roman"/>
          <w:b/>
          <w:sz w:val="24"/>
          <w:szCs w:val="24"/>
        </w:rPr>
        <w:t>Conclusion</w:t>
      </w:r>
    </w:p>
    <w:p w:rsidR="003F76D0" w:rsidRPr="00BC005D" w:rsidRDefault="003F76D0" w:rsidP="003F76D0">
      <w:pPr>
        <w:spacing w:after="0" w:line="240" w:lineRule="auto"/>
        <w:rPr>
          <w:rFonts w:ascii="Times New Roman" w:eastAsia="Times New Roman" w:hAnsi="Times New Roman"/>
          <w:b/>
          <w:sz w:val="24"/>
          <w:szCs w:val="24"/>
        </w:rPr>
      </w:pPr>
    </w:p>
    <w:p w:rsidR="003F76D0" w:rsidRPr="00BC005D" w:rsidRDefault="003F76D0" w:rsidP="003F76D0">
      <w:pPr>
        <w:spacing w:after="0" w:line="240" w:lineRule="auto"/>
        <w:jc w:val="both"/>
        <w:rPr>
          <w:rFonts w:ascii="Times New Roman" w:hAnsi="Times New Roman"/>
          <w:sz w:val="24"/>
          <w:szCs w:val="24"/>
        </w:rPr>
      </w:pPr>
      <w:r w:rsidRPr="00BC005D">
        <w:rPr>
          <w:rFonts w:ascii="Times New Roman" w:hAnsi="Times New Roman"/>
          <w:color w:val="000000" w:themeColor="text1"/>
          <w:sz w:val="24"/>
          <w:szCs w:val="24"/>
        </w:rPr>
        <w:t>The</w:t>
      </w:r>
      <w:r w:rsidRPr="00BC005D">
        <w:rPr>
          <w:rFonts w:ascii="Times New Roman" w:hAnsi="Times New Roman"/>
          <w:color w:val="FF0000"/>
          <w:sz w:val="24"/>
          <w:szCs w:val="24"/>
        </w:rPr>
        <w:t xml:space="preserve"> </w:t>
      </w:r>
      <w:r w:rsidRPr="00BC005D">
        <w:rPr>
          <w:rFonts w:ascii="Times New Roman" w:hAnsi="Times New Roman"/>
          <w:sz w:val="24"/>
          <w:szCs w:val="24"/>
        </w:rPr>
        <w:t xml:space="preserve">VIPCPU, supported by the MES, was providing services as per the responsibilities conferred upon it and generally in compliance with prevalent recommendations, </w:t>
      </w:r>
      <w:r w:rsidRPr="00BC005D">
        <w:rPr>
          <w:rFonts w:ascii="Times New Roman" w:hAnsi="Times New Roman"/>
          <w:sz w:val="24"/>
          <w:szCs w:val="24"/>
        </w:rPr>
        <w:lastRenderedPageBreak/>
        <w:t>instructions and guidelines. Key issues in execution of these activities precluded the VIPCPU from providing these services at minimum cost.</w:t>
      </w:r>
    </w:p>
    <w:p w:rsidR="003F76D0" w:rsidRPr="00BC005D" w:rsidRDefault="003F76D0" w:rsidP="003F76D0">
      <w:pPr>
        <w:spacing w:after="0" w:line="240" w:lineRule="auto"/>
        <w:jc w:val="both"/>
        <w:rPr>
          <w:rFonts w:ascii="Times New Roman" w:hAnsi="Times New Roman"/>
          <w:sz w:val="24"/>
          <w:szCs w:val="24"/>
        </w:rPr>
      </w:pPr>
      <w:r w:rsidRPr="00BC005D">
        <w:rPr>
          <w:rFonts w:ascii="Times New Roman" w:hAnsi="Times New Roman"/>
          <w:sz w:val="24"/>
          <w:szCs w:val="24"/>
        </w:rPr>
        <w:t>Fleet monitoring and reporting arrangements were insufficient to provide an oversight on service level and associated costs. This contributed to a fleet which was not properly sized, leading to excess and underutilised vehicles. The requirement to keep all the vehicles in the Pool in good running condition at all times, irrespective of usage rate or in excess of needs have impacted negatively on total fleet costs. Grounding of boarded vehicles over one year or more, and in the open air impaired their disposal values. Also, the current practice of setting MRPs did not ensure that bidding during auction, started with a minimum price that reflected the market value of these vehicles.</w:t>
      </w:r>
    </w:p>
    <w:p w:rsidR="003F76D0" w:rsidRPr="00BC005D" w:rsidRDefault="003F76D0" w:rsidP="003F76D0">
      <w:pPr>
        <w:spacing w:after="0" w:line="240" w:lineRule="auto"/>
        <w:jc w:val="both"/>
        <w:rPr>
          <w:rFonts w:ascii="Times New Roman" w:hAnsi="Times New Roman"/>
          <w:sz w:val="24"/>
          <w:szCs w:val="24"/>
        </w:rPr>
      </w:pPr>
    </w:p>
    <w:p w:rsidR="003F76D0" w:rsidRPr="00BC005D" w:rsidRDefault="003F76D0" w:rsidP="003F76D0">
      <w:pPr>
        <w:spacing w:after="0" w:line="240" w:lineRule="auto"/>
        <w:jc w:val="both"/>
        <w:rPr>
          <w:rFonts w:ascii="Times New Roman" w:hAnsi="Times New Roman"/>
          <w:sz w:val="24"/>
          <w:szCs w:val="24"/>
        </w:rPr>
      </w:pPr>
    </w:p>
    <w:p w:rsidR="003F76D0" w:rsidRPr="00BC005D" w:rsidRDefault="003F76D0" w:rsidP="003F76D0">
      <w:pPr>
        <w:spacing w:after="0" w:line="240" w:lineRule="auto"/>
        <w:jc w:val="both"/>
        <w:rPr>
          <w:rFonts w:ascii="Times New Roman" w:hAnsi="Times New Roman"/>
          <w:b/>
          <w:sz w:val="24"/>
          <w:szCs w:val="24"/>
        </w:rPr>
      </w:pPr>
      <w:r w:rsidRPr="00BC005D">
        <w:rPr>
          <w:rFonts w:ascii="Times New Roman" w:hAnsi="Times New Roman"/>
          <w:b/>
          <w:sz w:val="24"/>
          <w:szCs w:val="24"/>
        </w:rPr>
        <w:t>Key Recommendations</w:t>
      </w:r>
    </w:p>
    <w:p w:rsidR="003F76D0" w:rsidRPr="00BC005D" w:rsidRDefault="003F76D0" w:rsidP="003F76D0">
      <w:pPr>
        <w:spacing w:after="0" w:line="240" w:lineRule="auto"/>
        <w:jc w:val="both"/>
        <w:rPr>
          <w:rFonts w:ascii="Times New Roman" w:hAnsi="Times New Roman"/>
          <w:b/>
          <w:sz w:val="24"/>
          <w:szCs w:val="24"/>
        </w:rPr>
      </w:pPr>
    </w:p>
    <w:p w:rsidR="003F76D0" w:rsidRPr="00BC005D" w:rsidRDefault="003F76D0" w:rsidP="003F76D0">
      <w:pPr>
        <w:spacing w:after="0" w:line="240" w:lineRule="auto"/>
        <w:jc w:val="both"/>
        <w:rPr>
          <w:rFonts w:ascii="Times New Roman" w:eastAsia="Times New Roman" w:hAnsi="Times New Roman"/>
          <w:b/>
          <w:sz w:val="24"/>
          <w:szCs w:val="24"/>
        </w:rPr>
      </w:pPr>
      <w:r w:rsidRPr="00BC005D">
        <w:rPr>
          <w:rFonts w:ascii="Times New Roman" w:hAnsi="Times New Roman"/>
          <w:iCs/>
          <w:sz w:val="24"/>
          <w:szCs w:val="24"/>
        </w:rPr>
        <w:t>Overall, the same level of VIP vehicle services can be provided but with less vehicles. Less vehicles mean less holding costs, and hence, the Pool turning out to be more efficient. The following key processes need to be reviewed:</w:t>
      </w:r>
    </w:p>
    <w:p w:rsidR="003F76D0" w:rsidRPr="00BC005D" w:rsidRDefault="003F76D0" w:rsidP="003F76D0">
      <w:pPr>
        <w:spacing w:after="0" w:line="240" w:lineRule="auto"/>
        <w:rPr>
          <w:rFonts w:ascii="Times New Roman" w:eastAsia="Times New Roman" w:hAnsi="Times New Roman"/>
          <w:b/>
          <w:sz w:val="24"/>
          <w:szCs w:val="24"/>
        </w:rPr>
      </w:pPr>
    </w:p>
    <w:p w:rsidR="003F76D0" w:rsidRPr="00BC005D" w:rsidRDefault="003F76D0" w:rsidP="003F76D0">
      <w:pPr>
        <w:numPr>
          <w:ilvl w:val="0"/>
          <w:numId w:val="6"/>
        </w:numPr>
        <w:spacing w:after="0" w:line="240" w:lineRule="auto"/>
        <w:ind w:left="360"/>
        <w:contextualSpacing/>
        <w:jc w:val="both"/>
        <w:rPr>
          <w:rFonts w:ascii="Times New Roman" w:hAnsi="Times New Roman"/>
          <w:iCs/>
          <w:sz w:val="24"/>
          <w:szCs w:val="24"/>
        </w:rPr>
      </w:pPr>
      <w:r w:rsidRPr="00BC005D">
        <w:rPr>
          <w:rFonts w:ascii="Times New Roman" w:hAnsi="Times New Roman"/>
          <w:iCs/>
          <w:sz w:val="24"/>
          <w:szCs w:val="24"/>
        </w:rPr>
        <w:t>If the priority is to provide</w:t>
      </w:r>
      <w:r w:rsidRPr="00BC005D">
        <w:rPr>
          <w:rFonts w:ascii="Times New Roman" w:hAnsi="Times New Roman"/>
          <w:sz w:val="24"/>
          <w:szCs w:val="24"/>
        </w:rPr>
        <w:t xml:space="preserve"> relieving and duty services, then the right fleet size has to be worked out, inclusive of a spare capacity to cater for contingencies;</w:t>
      </w:r>
    </w:p>
    <w:p w:rsidR="003F76D0" w:rsidRPr="00BC005D" w:rsidRDefault="003F76D0" w:rsidP="003F76D0">
      <w:pPr>
        <w:spacing w:after="0" w:line="240" w:lineRule="auto"/>
        <w:contextualSpacing/>
        <w:jc w:val="both"/>
        <w:rPr>
          <w:rFonts w:ascii="Times New Roman" w:hAnsi="Times New Roman"/>
          <w:iCs/>
          <w:sz w:val="24"/>
          <w:szCs w:val="24"/>
        </w:rPr>
      </w:pPr>
    </w:p>
    <w:p w:rsidR="003F76D0" w:rsidRPr="00BC005D" w:rsidRDefault="003F76D0" w:rsidP="003F76D0">
      <w:pPr>
        <w:numPr>
          <w:ilvl w:val="0"/>
          <w:numId w:val="6"/>
        </w:numPr>
        <w:spacing w:after="0" w:line="240" w:lineRule="auto"/>
        <w:ind w:left="360"/>
        <w:contextualSpacing/>
        <w:jc w:val="both"/>
        <w:rPr>
          <w:rFonts w:ascii="Times New Roman" w:hAnsi="Times New Roman"/>
          <w:iCs/>
          <w:sz w:val="24"/>
          <w:szCs w:val="24"/>
        </w:rPr>
      </w:pPr>
      <w:r w:rsidRPr="00BC005D">
        <w:rPr>
          <w:rFonts w:ascii="Times New Roman" w:hAnsi="Times New Roman"/>
          <w:sz w:val="24"/>
          <w:szCs w:val="24"/>
        </w:rPr>
        <w:t xml:space="preserve"> </w:t>
      </w:r>
      <w:r w:rsidRPr="00BC005D">
        <w:rPr>
          <w:rFonts w:ascii="Times New Roman" w:hAnsi="Times New Roman"/>
          <w:iCs/>
          <w:sz w:val="24"/>
          <w:szCs w:val="24"/>
        </w:rPr>
        <w:t xml:space="preserve">Monthly Returns should provide information on all vehicles in the fleet, their actual usage and recommendations to dispose of vehicles in excess of requirements; </w:t>
      </w:r>
    </w:p>
    <w:p w:rsidR="003F76D0" w:rsidRPr="00BC005D" w:rsidRDefault="003F76D0" w:rsidP="003F76D0">
      <w:pPr>
        <w:spacing w:after="0" w:line="240" w:lineRule="auto"/>
        <w:contextualSpacing/>
        <w:rPr>
          <w:rFonts w:ascii="Times New Roman" w:hAnsi="Times New Roman"/>
          <w:iCs/>
          <w:sz w:val="24"/>
          <w:szCs w:val="24"/>
        </w:rPr>
      </w:pPr>
    </w:p>
    <w:p w:rsidR="003F76D0" w:rsidRPr="00BC005D" w:rsidRDefault="003F76D0" w:rsidP="003F76D0">
      <w:pPr>
        <w:numPr>
          <w:ilvl w:val="0"/>
          <w:numId w:val="6"/>
        </w:numPr>
        <w:spacing w:after="0" w:line="240" w:lineRule="auto"/>
        <w:ind w:left="360"/>
        <w:contextualSpacing/>
        <w:jc w:val="both"/>
        <w:rPr>
          <w:rFonts w:ascii="Times New Roman" w:hAnsi="Times New Roman"/>
          <w:iCs/>
          <w:sz w:val="24"/>
          <w:szCs w:val="24"/>
        </w:rPr>
      </w:pPr>
      <w:r w:rsidRPr="00BC005D">
        <w:rPr>
          <w:rFonts w:ascii="Times New Roman" w:hAnsi="Times New Roman"/>
          <w:iCs/>
          <w:sz w:val="24"/>
          <w:szCs w:val="24"/>
        </w:rPr>
        <w:t>Under the monthly</w:t>
      </w:r>
      <w:r w:rsidRPr="00BC005D">
        <w:rPr>
          <w:rFonts w:ascii="Times New Roman" w:hAnsi="Times New Roman"/>
          <w:iCs/>
          <w:color w:val="FF0000"/>
          <w:sz w:val="24"/>
          <w:szCs w:val="24"/>
        </w:rPr>
        <w:t xml:space="preserve"> </w:t>
      </w:r>
      <w:r w:rsidRPr="00BC005D">
        <w:rPr>
          <w:rFonts w:ascii="Times New Roman" w:hAnsi="Times New Roman"/>
          <w:iCs/>
          <w:sz w:val="24"/>
          <w:szCs w:val="24"/>
        </w:rPr>
        <w:t>cash allowance option of the “Government Official Car Scheme</w:t>
      </w:r>
      <w:r w:rsidRPr="00BC005D">
        <w:rPr>
          <w:rFonts w:ascii="Times New Roman" w:hAnsi="Times New Roman"/>
          <w:b/>
          <w:iCs/>
          <w:sz w:val="24"/>
          <w:szCs w:val="24"/>
        </w:rPr>
        <w:t>”,</w:t>
      </w:r>
      <w:r w:rsidRPr="00BC005D">
        <w:rPr>
          <w:rFonts w:ascii="Times New Roman" w:hAnsi="Times New Roman"/>
          <w:iCs/>
          <w:sz w:val="24"/>
          <w:szCs w:val="24"/>
        </w:rPr>
        <w:t xml:space="preserve"> there is no need to acquire vehicles or provide relieving/ replacement ones. The attractiveness of this option needs to be re-examined as a way forward to minimise VIP fleet costs. Alternatively, leasing of vehicles from Local Agents may be considered; </w:t>
      </w:r>
    </w:p>
    <w:p w:rsidR="003F76D0" w:rsidRPr="00BC005D" w:rsidRDefault="003F76D0" w:rsidP="003F76D0">
      <w:pPr>
        <w:spacing w:after="0" w:line="240" w:lineRule="auto"/>
        <w:contextualSpacing/>
        <w:jc w:val="both"/>
        <w:rPr>
          <w:rFonts w:ascii="Times New Roman" w:hAnsi="Times New Roman"/>
          <w:iCs/>
          <w:sz w:val="24"/>
          <w:szCs w:val="24"/>
        </w:rPr>
      </w:pPr>
    </w:p>
    <w:p w:rsidR="003F76D0" w:rsidRPr="00BC005D" w:rsidRDefault="003F76D0" w:rsidP="003F76D0">
      <w:pPr>
        <w:numPr>
          <w:ilvl w:val="0"/>
          <w:numId w:val="6"/>
        </w:numPr>
        <w:spacing w:after="0" w:line="240" w:lineRule="auto"/>
        <w:ind w:left="360"/>
        <w:contextualSpacing/>
        <w:jc w:val="both"/>
        <w:rPr>
          <w:rFonts w:ascii="Times New Roman" w:hAnsi="Times New Roman"/>
          <w:sz w:val="24"/>
          <w:szCs w:val="24"/>
        </w:rPr>
      </w:pPr>
      <w:r w:rsidRPr="00BC005D">
        <w:rPr>
          <w:rFonts w:ascii="Times New Roman" w:hAnsi="Times New Roman"/>
          <w:iCs/>
          <w:sz w:val="24"/>
          <w:szCs w:val="24"/>
        </w:rPr>
        <w:t xml:space="preserve"> A</w:t>
      </w:r>
      <w:r w:rsidRPr="00BC005D">
        <w:rPr>
          <w:rFonts w:ascii="Times New Roman" w:hAnsi="Times New Roman"/>
          <w:sz w:val="24"/>
          <w:szCs w:val="24"/>
        </w:rPr>
        <w:t xml:space="preserve"> cost benefit analysis should be carried out to assess whether it will be more beneficial to hire VIP cars as and when required for conferences/ workshops and seminars rather than keeping excess capacity of vehicles in the Pool for such events;</w:t>
      </w:r>
    </w:p>
    <w:p w:rsidR="003F76D0" w:rsidRPr="00BC005D" w:rsidRDefault="003F76D0" w:rsidP="003F76D0">
      <w:pPr>
        <w:spacing w:after="0" w:line="240" w:lineRule="auto"/>
        <w:contextualSpacing/>
        <w:jc w:val="both"/>
        <w:rPr>
          <w:rFonts w:ascii="Times New Roman" w:hAnsi="Times New Roman"/>
          <w:b/>
          <w:sz w:val="24"/>
          <w:szCs w:val="24"/>
        </w:rPr>
      </w:pPr>
    </w:p>
    <w:p w:rsidR="003F76D0" w:rsidRPr="00BC005D" w:rsidRDefault="003F76D0" w:rsidP="003F76D0">
      <w:pPr>
        <w:numPr>
          <w:ilvl w:val="0"/>
          <w:numId w:val="6"/>
        </w:numPr>
        <w:spacing w:after="0" w:line="240" w:lineRule="auto"/>
        <w:ind w:left="360"/>
        <w:contextualSpacing/>
        <w:jc w:val="both"/>
        <w:rPr>
          <w:rFonts w:ascii="Times New Roman" w:hAnsi="Times New Roman"/>
          <w:sz w:val="24"/>
          <w:szCs w:val="24"/>
        </w:rPr>
      </w:pPr>
      <w:r w:rsidRPr="00BC005D">
        <w:rPr>
          <w:rFonts w:ascii="Times New Roman" w:hAnsi="Times New Roman"/>
          <w:sz w:val="24"/>
          <w:szCs w:val="24"/>
        </w:rPr>
        <w:t>The MES should calculate the economic lives of vehicles. This will enable disposal of</w:t>
      </w:r>
      <w:r w:rsidRPr="00BC005D">
        <w:rPr>
          <w:rFonts w:ascii="Times New Roman" w:hAnsi="Times New Roman"/>
          <w:color w:val="FF0000"/>
          <w:sz w:val="24"/>
          <w:szCs w:val="24"/>
        </w:rPr>
        <w:t xml:space="preserve"> </w:t>
      </w:r>
      <w:r w:rsidRPr="00BC005D">
        <w:rPr>
          <w:rFonts w:ascii="Times New Roman" w:hAnsi="Times New Roman"/>
          <w:sz w:val="24"/>
          <w:szCs w:val="24"/>
        </w:rPr>
        <w:t>larger number of vehicles with relative low age, better mechanical and physical conditions. The overall effect will be lower fleet maintenance cost and potentially higher disposal value;</w:t>
      </w:r>
    </w:p>
    <w:p w:rsidR="003F76D0" w:rsidRPr="00BC005D" w:rsidRDefault="003F76D0" w:rsidP="003F76D0">
      <w:pPr>
        <w:spacing w:after="0" w:line="240" w:lineRule="auto"/>
        <w:ind w:left="360"/>
        <w:contextualSpacing/>
        <w:jc w:val="both"/>
        <w:rPr>
          <w:rFonts w:ascii="Times New Roman" w:hAnsi="Times New Roman"/>
          <w:sz w:val="24"/>
          <w:szCs w:val="24"/>
        </w:rPr>
      </w:pPr>
    </w:p>
    <w:p w:rsidR="003F76D0" w:rsidRPr="00BC005D" w:rsidRDefault="003F76D0" w:rsidP="003F76D0">
      <w:pPr>
        <w:numPr>
          <w:ilvl w:val="0"/>
          <w:numId w:val="9"/>
        </w:numPr>
        <w:spacing w:after="0" w:line="240" w:lineRule="auto"/>
        <w:contextualSpacing/>
        <w:jc w:val="both"/>
        <w:rPr>
          <w:rFonts w:ascii="Times New Roman" w:eastAsia="Times New Roman" w:hAnsi="Times New Roman"/>
          <w:b/>
          <w:smallCaps/>
          <w:sz w:val="24"/>
          <w:szCs w:val="24"/>
          <w:lang w:eastAsia="en-GB"/>
        </w:rPr>
      </w:pPr>
      <w:r w:rsidRPr="00BC005D">
        <w:rPr>
          <w:rFonts w:ascii="Times New Roman" w:hAnsi="Times New Roman"/>
          <w:sz w:val="24"/>
          <w:szCs w:val="24"/>
        </w:rPr>
        <w:t>The option of carrying out auctions exclusively for VIP cars, say</w:t>
      </w:r>
      <w:r w:rsidRPr="00BC005D">
        <w:rPr>
          <w:rFonts w:ascii="Times New Roman" w:hAnsi="Times New Roman"/>
          <w:color w:val="FF0000"/>
          <w:sz w:val="24"/>
          <w:szCs w:val="24"/>
        </w:rPr>
        <w:t xml:space="preserve"> </w:t>
      </w:r>
      <w:r w:rsidRPr="00BC005D">
        <w:rPr>
          <w:rFonts w:ascii="Times New Roman" w:hAnsi="Times New Roman"/>
          <w:sz w:val="24"/>
          <w:szCs w:val="24"/>
        </w:rPr>
        <w:t xml:space="preserve">every six months, instead of an average of once yearly should be considered to reduce impairment of the vehicles due to age and continuous exposure to inclement weather; </w:t>
      </w:r>
    </w:p>
    <w:p w:rsidR="003F76D0" w:rsidRPr="00BC005D" w:rsidRDefault="003F76D0" w:rsidP="003F76D0">
      <w:pPr>
        <w:spacing w:after="0" w:line="240" w:lineRule="auto"/>
        <w:ind w:left="360"/>
        <w:contextualSpacing/>
        <w:jc w:val="both"/>
        <w:rPr>
          <w:rFonts w:ascii="Times New Roman" w:eastAsia="Times New Roman" w:hAnsi="Times New Roman"/>
          <w:b/>
          <w:smallCaps/>
          <w:sz w:val="24"/>
          <w:szCs w:val="24"/>
          <w:lang w:eastAsia="en-GB"/>
        </w:rPr>
      </w:pPr>
    </w:p>
    <w:p w:rsidR="003F76D0" w:rsidRPr="00BC005D" w:rsidRDefault="003F76D0" w:rsidP="003F76D0">
      <w:pPr>
        <w:numPr>
          <w:ilvl w:val="0"/>
          <w:numId w:val="9"/>
        </w:numPr>
        <w:spacing w:after="0" w:line="240" w:lineRule="auto"/>
        <w:contextualSpacing/>
        <w:jc w:val="both"/>
        <w:rPr>
          <w:rFonts w:ascii="Times New Roman" w:eastAsia="Times New Roman" w:hAnsi="Times New Roman"/>
          <w:b/>
          <w:smallCaps/>
          <w:sz w:val="24"/>
          <w:szCs w:val="24"/>
          <w:lang w:eastAsia="en-GB"/>
        </w:rPr>
      </w:pPr>
      <w:r w:rsidRPr="00BC005D">
        <w:rPr>
          <w:rFonts w:ascii="Times New Roman" w:hAnsi="Times New Roman"/>
          <w:sz w:val="24"/>
          <w:szCs w:val="24"/>
        </w:rPr>
        <w:t xml:space="preserve">The expertise of competent persons may be hired to </w:t>
      </w:r>
      <w:proofErr w:type="gramStart"/>
      <w:r w:rsidRPr="00BC005D">
        <w:rPr>
          <w:rFonts w:ascii="Times New Roman" w:hAnsi="Times New Roman"/>
          <w:sz w:val="24"/>
          <w:szCs w:val="24"/>
        </w:rPr>
        <w:t>advise</w:t>
      </w:r>
      <w:proofErr w:type="gramEnd"/>
      <w:r w:rsidRPr="00BC005D">
        <w:rPr>
          <w:rFonts w:ascii="Times New Roman" w:hAnsi="Times New Roman"/>
          <w:sz w:val="24"/>
          <w:szCs w:val="24"/>
        </w:rPr>
        <w:t xml:space="preserve"> on the setting of MRPs of vehicles.</w:t>
      </w:r>
    </w:p>
    <w:p w:rsidR="003F76D0" w:rsidRPr="00BC005D" w:rsidRDefault="003F76D0" w:rsidP="003F76D0">
      <w:pPr>
        <w:spacing w:after="0" w:line="240" w:lineRule="auto"/>
        <w:ind w:left="720"/>
        <w:contextualSpacing/>
        <w:rPr>
          <w:rFonts w:ascii="Times New Roman" w:eastAsia="Times New Roman" w:hAnsi="Times New Roman"/>
          <w:b/>
          <w:smallCaps/>
          <w:sz w:val="24"/>
          <w:szCs w:val="24"/>
          <w:lang w:eastAsia="en-GB"/>
        </w:rPr>
      </w:pPr>
    </w:p>
    <w:p w:rsidR="003F76D0" w:rsidRPr="00BC005D" w:rsidRDefault="003F76D0" w:rsidP="003F76D0">
      <w:pPr>
        <w:spacing w:after="0" w:line="240" w:lineRule="auto"/>
        <w:ind w:left="720"/>
        <w:contextualSpacing/>
        <w:rPr>
          <w:rFonts w:ascii="Times New Roman" w:eastAsia="Times New Roman" w:hAnsi="Times New Roman"/>
          <w:b/>
          <w:smallCaps/>
          <w:sz w:val="24"/>
          <w:szCs w:val="24"/>
          <w:lang w:eastAsia="en-GB"/>
        </w:rPr>
      </w:pPr>
    </w:p>
    <w:p w:rsidR="003F76D0" w:rsidRPr="00BC005D" w:rsidRDefault="00951D80" w:rsidP="003F76D0">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Ministry’s Reply</w:t>
      </w:r>
    </w:p>
    <w:p w:rsidR="003F76D0" w:rsidRPr="00BC005D" w:rsidRDefault="003F76D0" w:rsidP="003F76D0">
      <w:pPr>
        <w:spacing w:after="0" w:line="240" w:lineRule="auto"/>
        <w:rPr>
          <w:rFonts w:ascii="Times New Roman" w:eastAsia="Times New Roman" w:hAnsi="Times New Roman"/>
          <w:b/>
          <w:i/>
          <w:sz w:val="24"/>
          <w:szCs w:val="24"/>
        </w:rPr>
      </w:pPr>
    </w:p>
    <w:p w:rsidR="00D845A4" w:rsidRDefault="009A1B21" w:rsidP="00951401">
      <w:pPr>
        <w:spacing w:after="0" w:line="240" w:lineRule="auto"/>
        <w:jc w:val="both"/>
        <w:rPr>
          <w:rFonts w:ascii="Times New Roman" w:eastAsia="Times New Roman" w:hAnsi="Times New Roman"/>
          <w:b/>
          <w:noProof/>
          <w:sz w:val="24"/>
          <w:szCs w:val="24"/>
          <w:lang w:eastAsia="en-GB"/>
        </w:rPr>
      </w:pPr>
      <w:r>
        <w:rPr>
          <w:rFonts w:ascii="Times New Roman" w:eastAsia="Times New Roman" w:hAnsi="Times New Roman"/>
          <w:b/>
          <w:noProof/>
          <w:sz w:val="24"/>
          <w:szCs w:val="24"/>
          <w:lang w:eastAsia="en-GB"/>
        </w:rPr>
        <mc:AlternateContent>
          <mc:Choice Requires="wps">
            <w:drawing>
              <wp:anchor distT="45720" distB="45720" distL="114300" distR="114300" simplePos="0" relativeHeight="251678720" behindDoc="1" locked="0" layoutInCell="1" allowOverlap="1" wp14:anchorId="5D6E1620" wp14:editId="6353C315">
                <wp:simplePos x="0" y="0"/>
                <wp:positionH relativeFrom="column">
                  <wp:posOffset>4800600</wp:posOffset>
                </wp:positionH>
                <wp:positionV relativeFrom="page">
                  <wp:posOffset>10232390</wp:posOffset>
                </wp:positionV>
                <wp:extent cx="1400175" cy="285750"/>
                <wp:effectExtent l="0" t="0" r="9525" b="0"/>
                <wp:wrapTight wrapText="bothSides">
                  <wp:wrapPolygon edited="0">
                    <wp:start x="0" y="0"/>
                    <wp:lineTo x="0" y="20160"/>
                    <wp:lineTo x="21453" y="20160"/>
                    <wp:lineTo x="21453"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B21" w:rsidRPr="00EE50F7" w:rsidRDefault="00D42C6F" w:rsidP="009A1B21">
                            <w:pPr>
                              <w:jc w:val="center"/>
                              <w:rPr>
                                <w:rFonts w:ascii="Times New Roman" w:hAnsi="Times New Roman"/>
                                <w:color w:val="7030A0"/>
                                <w:sz w:val="24"/>
                                <w:szCs w:val="24"/>
                                <w:u w:val="single"/>
                              </w:rPr>
                            </w:pPr>
                            <w:hyperlink r:id="rId11" w:history="1">
                              <w:r w:rsidR="009A1B21" w:rsidRPr="00EE50F7">
                                <w:rPr>
                                  <w:rStyle w:val="Hyperlink"/>
                                  <w:rFonts w:ascii="Times New Roman" w:hAnsi="Times New Roman"/>
                                  <w:sz w:val="24"/>
                                  <w:szCs w:val="24"/>
                                </w:rPr>
                                <w:t>Back to C</w:t>
                              </w:r>
                              <w:r w:rsidR="009A1B21" w:rsidRPr="00EE50F7">
                                <w:rPr>
                                  <w:rStyle w:val="Hyperlink"/>
                                  <w:rFonts w:ascii="Times New Roman" w:hAnsi="Times New Roman"/>
                                  <w:sz w:val="24"/>
                                  <w:szCs w:val="24"/>
                                </w:rPr>
                                <w:t>o</w:t>
                              </w:r>
                              <w:r w:rsidR="009A1B21" w:rsidRPr="00EE50F7">
                                <w:rPr>
                                  <w:rStyle w:val="Hyperlink"/>
                                  <w:rFonts w:ascii="Times New Roman" w:hAnsi="Times New Roman"/>
                                  <w:sz w:val="24"/>
                                  <w:szCs w:val="24"/>
                                </w:rPr>
                                <w:t>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6E1620" id="_x0000_t202" coordsize="21600,21600" o:spt="202" path="m,l,21600r21600,l21600,xe">
                <v:stroke joinstyle="miter"/>
                <v:path gradientshapeok="t" o:connecttype="rect"/>
              </v:shapetype>
              <v:shape id="Text Box 12" o:spid="_x0000_s1028" type="#_x0000_t202" style="position:absolute;left:0;text-align:left;margin-left:378pt;margin-top:805.7pt;width:110.25pt;height:2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" stroked="f">
                <v:textbox>
                  <w:txbxContent>
                    <w:p w:rsidR="009A1B21" w:rsidRPr="00EE50F7" w:rsidRDefault="00D42C6F" w:rsidP="009A1B21">
                      <w:pPr>
                        <w:jc w:val="center"/>
                        <w:rPr>
                          <w:rFonts w:ascii="Times New Roman" w:hAnsi="Times New Roman"/>
                          <w:color w:val="7030A0"/>
                          <w:sz w:val="24"/>
                          <w:szCs w:val="24"/>
                          <w:u w:val="single"/>
                        </w:rPr>
                      </w:pPr>
                      <w:hyperlink r:id="rId12" w:history="1">
                        <w:r w:rsidR="009A1B21" w:rsidRPr="00EE50F7">
                          <w:rPr>
                            <w:rStyle w:val="Hyperlink"/>
                            <w:rFonts w:ascii="Times New Roman" w:hAnsi="Times New Roman"/>
                            <w:sz w:val="24"/>
                            <w:szCs w:val="24"/>
                          </w:rPr>
                          <w:t>Back to C</w:t>
                        </w:r>
                        <w:r w:rsidR="009A1B21" w:rsidRPr="00EE50F7">
                          <w:rPr>
                            <w:rStyle w:val="Hyperlink"/>
                            <w:rFonts w:ascii="Times New Roman" w:hAnsi="Times New Roman"/>
                            <w:sz w:val="24"/>
                            <w:szCs w:val="24"/>
                          </w:rPr>
                          <w:t>o</w:t>
                        </w:r>
                        <w:r w:rsidR="009A1B21" w:rsidRPr="00EE50F7">
                          <w:rPr>
                            <w:rStyle w:val="Hyperlink"/>
                            <w:rFonts w:ascii="Times New Roman" w:hAnsi="Times New Roman"/>
                            <w:sz w:val="24"/>
                            <w:szCs w:val="24"/>
                          </w:rPr>
                          <w:t>ntents</w:t>
                        </w:r>
                      </w:hyperlink>
                    </w:p>
                  </w:txbxContent>
                </v:textbox>
                <w10:wrap type="tight" anchory="page"/>
              </v:shape>
            </w:pict>
          </mc:Fallback>
        </mc:AlternateContent>
      </w:r>
      <w:r w:rsidR="00EE50F7">
        <w:rPr>
          <w:rFonts w:ascii="Times New Roman" w:eastAsia="Times New Roman" w:hAnsi="Times New Roman"/>
          <w:b/>
          <w:noProof/>
          <w:sz w:val="24"/>
          <w:szCs w:val="24"/>
          <w:lang w:eastAsia="en-GB"/>
        </w:rPr>
        <mc:AlternateContent>
          <mc:Choice Requires="wps">
            <w:drawing>
              <wp:anchor distT="45720" distB="45720" distL="114300" distR="114300" simplePos="0" relativeHeight="251660288" behindDoc="1" locked="0" layoutInCell="1" allowOverlap="1" wp14:anchorId="290930ED" wp14:editId="60A6B236">
                <wp:simplePos x="0" y="0"/>
                <wp:positionH relativeFrom="column">
                  <wp:posOffset>-781050</wp:posOffset>
                </wp:positionH>
                <wp:positionV relativeFrom="page">
                  <wp:posOffset>10232390</wp:posOffset>
                </wp:positionV>
                <wp:extent cx="1400175" cy="285750"/>
                <wp:effectExtent l="0" t="0" r="9525" b="0"/>
                <wp:wrapTight wrapText="bothSides">
                  <wp:wrapPolygon edited="0">
                    <wp:start x="0" y="0"/>
                    <wp:lineTo x="0" y="20160"/>
                    <wp:lineTo x="21453" y="20160"/>
                    <wp:lineTo x="2145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0F7" w:rsidRPr="00D74886" w:rsidRDefault="00D42C6F" w:rsidP="00EE50F7">
                            <w:pPr>
                              <w:jc w:val="center"/>
                              <w:rPr>
                                <w:rFonts w:ascii="Times New Roman" w:hAnsi="Times New Roman"/>
                                <w:color w:val="7030A0"/>
                                <w:sz w:val="24"/>
                                <w:szCs w:val="24"/>
                                <w:u w:val="single"/>
                              </w:rPr>
                            </w:pPr>
                            <w:hyperlink r:id="rId13" w:anchor="Appendices_IA_to_ID" w:history="1">
                              <w:r w:rsidR="00EE50F7" w:rsidRPr="00D42C6F">
                                <w:rPr>
                                  <w:rStyle w:val="Hyperlink"/>
                                  <w:rFonts w:ascii="Times New Roman" w:hAnsi="Times New Roman"/>
                                  <w:sz w:val="24"/>
                                  <w:szCs w:val="24"/>
                                </w:rPr>
                                <w:t>Back to</w:t>
                              </w:r>
                              <w:r w:rsidR="00EE50F7" w:rsidRPr="00D42C6F">
                                <w:rPr>
                                  <w:rStyle w:val="Hyperlink"/>
                                  <w:rFonts w:ascii="Times New Roman" w:hAnsi="Times New Roman"/>
                                  <w:sz w:val="24"/>
                                  <w:szCs w:val="24"/>
                                </w:rPr>
                                <w:t xml:space="preserve"> </w:t>
                              </w:r>
                              <w:r w:rsidR="00EE50F7" w:rsidRPr="00D42C6F">
                                <w:rPr>
                                  <w:rStyle w:val="Hyperlink"/>
                                  <w:rFonts w:ascii="Times New Roman" w:hAnsi="Times New Roman"/>
                                  <w:sz w:val="24"/>
                                  <w:szCs w:val="24"/>
                                </w:rPr>
                                <w:t>Paragraph</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930ED" id="Text Box 2" o:spid="_x0000_s1029" type="#_x0000_t202" style="position:absolute;left:0;text-align:left;margin-left:-61.5pt;margin-top:805.7pt;width:110.25pt;height:2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" stroked="f">
                <v:textbox>
                  <w:txbxContent>
                    <w:p w:rsidR="00EE50F7" w:rsidRPr="00D74886" w:rsidRDefault="00D42C6F" w:rsidP="00EE50F7">
                      <w:pPr>
                        <w:jc w:val="center"/>
                        <w:rPr>
                          <w:rFonts w:ascii="Times New Roman" w:hAnsi="Times New Roman"/>
                          <w:color w:val="7030A0"/>
                          <w:sz w:val="24"/>
                          <w:szCs w:val="24"/>
                          <w:u w:val="single"/>
                        </w:rPr>
                      </w:pPr>
                      <w:hyperlink r:id="rId14" w:anchor="Appendices_IA_to_ID" w:history="1">
                        <w:r w:rsidR="00EE50F7" w:rsidRPr="00D42C6F">
                          <w:rPr>
                            <w:rStyle w:val="Hyperlink"/>
                            <w:rFonts w:ascii="Times New Roman" w:hAnsi="Times New Roman"/>
                            <w:sz w:val="24"/>
                            <w:szCs w:val="24"/>
                          </w:rPr>
                          <w:t>Back to</w:t>
                        </w:r>
                        <w:r w:rsidR="00EE50F7" w:rsidRPr="00D42C6F">
                          <w:rPr>
                            <w:rStyle w:val="Hyperlink"/>
                            <w:rFonts w:ascii="Times New Roman" w:hAnsi="Times New Roman"/>
                            <w:sz w:val="24"/>
                            <w:szCs w:val="24"/>
                          </w:rPr>
                          <w:t xml:space="preserve"> </w:t>
                        </w:r>
                        <w:r w:rsidR="00EE50F7" w:rsidRPr="00D42C6F">
                          <w:rPr>
                            <w:rStyle w:val="Hyperlink"/>
                            <w:rFonts w:ascii="Times New Roman" w:hAnsi="Times New Roman"/>
                            <w:sz w:val="24"/>
                            <w:szCs w:val="24"/>
                          </w:rPr>
                          <w:t>Paragraph</w:t>
                        </w:r>
                      </w:hyperlink>
                    </w:p>
                  </w:txbxContent>
                </v:textbox>
                <w10:wrap type="tight" anchory="page"/>
              </v:shape>
            </w:pict>
          </mc:Fallback>
        </mc:AlternateContent>
      </w:r>
      <w:r w:rsidR="003F76D0" w:rsidRPr="00BC005D">
        <w:rPr>
          <w:rFonts w:ascii="Times New Roman" w:eastAsia="Times New Roman" w:hAnsi="Times New Roman"/>
          <w:sz w:val="24"/>
          <w:szCs w:val="24"/>
        </w:rPr>
        <w:t xml:space="preserve">The Ministry has agreed to our findings and recommendations.  Some corrective actions </w:t>
      </w:r>
      <w:bookmarkStart w:id="1" w:name="_GoBack"/>
      <w:bookmarkEnd w:id="1"/>
      <w:r w:rsidR="003F76D0" w:rsidRPr="00BC005D">
        <w:rPr>
          <w:rFonts w:ascii="Times New Roman" w:eastAsia="Times New Roman" w:hAnsi="Times New Roman"/>
          <w:sz w:val="24"/>
          <w:szCs w:val="24"/>
        </w:rPr>
        <w:t>have already been initiated and further options are being considered.</w:t>
      </w:r>
      <w:r w:rsidR="00EE50F7" w:rsidRPr="00EE50F7">
        <w:rPr>
          <w:rFonts w:ascii="Times New Roman" w:eastAsia="Times New Roman" w:hAnsi="Times New Roman"/>
          <w:b/>
          <w:noProof/>
          <w:sz w:val="24"/>
          <w:szCs w:val="24"/>
          <w:lang w:eastAsia="en-GB"/>
        </w:rPr>
        <w:t xml:space="preserve"> </w:t>
      </w:r>
    </w:p>
    <w:p w:rsidR="00951401" w:rsidRPr="00BC005D" w:rsidRDefault="00951401" w:rsidP="00951401">
      <w:pPr>
        <w:spacing w:after="0" w:line="240" w:lineRule="auto"/>
        <w:jc w:val="both"/>
        <w:rPr>
          <w:rFonts w:ascii="Times New Roman" w:eastAsia="Times New Roman" w:hAnsi="Times New Roman"/>
          <w:sz w:val="24"/>
          <w:szCs w:val="24"/>
          <w:lang w:val="en-ZA"/>
        </w:rPr>
      </w:pPr>
    </w:p>
    <w:sectPr w:rsidR="00951401" w:rsidRPr="00BC005D" w:rsidSect="00951401">
      <w:footerReference w:type="default" r:id="rId15"/>
      <w:headerReference w:type="first" r:id="rId16"/>
      <w:footerReference w:type="first" r:id="rId17"/>
      <w:pgSz w:w="11906" w:h="16838"/>
      <w:pgMar w:top="1440" w:right="1440" w:bottom="1440" w:left="1800" w:header="708" w:footer="708" w:gutter="0"/>
      <w:pgNumType w:start="28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05D" w:rsidRDefault="00BC005D" w:rsidP="00D845A4">
      <w:pPr>
        <w:spacing w:after="0" w:line="240" w:lineRule="auto"/>
      </w:pPr>
      <w:r>
        <w:separator/>
      </w:r>
    </w:p>
    <w:p w:rsidR="00BC005D" w:rsidRDefault="00BC005D"/>
    <w:p w:rsidR="00BC005D" w:rsidRDefault="00BC005D" w:rsidP="008D5506"/>
  </w:endnote>
  <w:endnote w:type="continuationSeparator" w:id="0">
    <w:p w:rsidR="00BC005D" w:rsidRDefault="00BC005D" w:rsidP="00D845A4">
      <w:pPr>
        <w:spacing w:after="0" w:line="240" w:lineRule="auto"/>
      </w:pPr>
      <w:r>
        <w:continuationSeparator/>
      </w:r>
    </w:p>
    <w:p w:rsidR="00BC005D" w:rsidRDefault="00BC005D"/>
    <w:p w:rsidR="00BC005D" w:rsidRDefault="00BC005D" w:rsidP="008D5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383528"/>
      <w:docPartObj>
        <w:docPartGallery w:val="Page Numbers (Bottom of Page)"/>
        <w:docPartUnique/>
      </w:docPartObj>
    </w:sdtPr>
    <w:sdtEndPr>
      <w:rPr>
        <w:rFonts w:ascii="Times New Roman" w:hAnsi="Times New Roman"/>
        <w:noProof/>
        <w:sz w:val="24"/>
        <w:szCs w:val="24"/>
      </w:rPr>
    </w:sdtEndPr>
    <w:sdtContent>
      <w:p w:rsidR="00BC005D" w:rsidRPr="00B60589" w:rsidRDefault="00BC005D" w:rsidP="00B60589">
        <w:pPr>
          <w:pStyle w:val="Footer"/>
          <w:jc w:val="center"/>
          <w:rPr>
            <w:rFonts w:ascii="Times New Roman" w:hAnsi="Times New Roman"/>
            <w:sz w:val="24"/>
            <w:szCs w:val="24"/>
          </w:rPr>
        </w:pPr>
        <w:r w:rsidRPr="00B60589">
          <w:rPr>
            <w:rFonts w:ascii="Times New Roman" w:hAnsi="Times New Roman"/>
            <w:sz w:val="24"/>
            <w:szCs w:val="24"/>
          </w:rPr>
          <w:fldChar w:fldCharType="begin"/>
        </w:r>
        <w:r w:rsidRPr="00B60589">
          <w:rPr>
            <w:rFonts w:ascii="Times New Roman" w:hAnsi="Times New Roman"/>
            <w:sz w:val="24"/>
            <w:szCs w:val="24"/>
          </w:rPr>
          <w:instrText xml:space="preserve"> PAGE   \* MERGEFORMAT </w:instrText>
        </w:r>
        <w:r w:rsidRPr="00B60589">
          <w:rPr>
            <w:rFonts w:ascii="Times New Roman" w:hAnsi="Times New Roman"/>
            <w:sz w:val="24"/>
            <w:szCs w:val="24"/>
          </w:rPr>
          <w:fldChar w:fldCharType="separate"/>
        </w:r>
        <w:r w:rsidR="00D42C6F">
          <w:rPr>
            <w:rFonts w:ascii="Times New Roman" w:hAnsi="Times New Roman"/>
            <w:noProof/>
            <w:sz w:val="24"/>
            <w:szCs w:val="24"/>
          </w:rPr>
          <w:t>288</w:t>
        </w:r>
        <w:r w:rsidRPr="00B60589">
          <w:rPr>
            <w:rFonts w:ascii="Times New Roman" w:hAnsi="Times New Roman"/>
            <w:noProof/>
            <w:sz w:val="24"/>
            <w:szCs w:val="24"/>
          </w:rPr>
          <w:fldChar w:fldCharType="end"/>
        </w:r>
      </w:p>
    </w:sdtContent>
  </w:sdt>
  <w:p w:rsidR="00BC005D" w:rsidRDefault="00BC005D" w:rsidP="00654BAE">
    <w:pPr>
      <w:pStyle w:val="Footer"/>
      <w:jc w:val="center"/>
    </w:pPr>
    <w:r w:rsidRPr="00B60589">
      <w:rPr>
        <w:rFonts w:ascii="Times New Roman" w:hAnsi="Times New Roman"/>
        <w:smallCaps/>
        <w:sz w:val="18"/>
        <w:szCs w:val="18"/>
      </w:rPr>
      <w:t xml:space="preserve">Appendix </w:t>
    </w:r>
    <w:r w:rsidR="00951401">
      <w:rPr>
        <w:rFonts w:ascii="Times New Roman" w:hAnsi="Times New Roman"/>
        <w:smallCaps/>
        <w:sz w:val="18"/>
        <w:szCs w:val="18"/>
      </w:rPr>
      <w:t>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401" w:rsidRPr="00951401" w:rsidRDefault="00951401" w:rsidP="00951401">
    <w:pPr>
      <w:pStyle w:val="Footer"/>
      <w:jc w:val="center"/>
      <w:rPr>
        <w:rFonts w:ascii="Times New Roman" w:hAnsi="Times New Roman"/>
        <w:sz w:val="24"/>
        <w:szCs w:val="24"/>
        <w:lang w:val="en-US"/>
      </w:rPr>
    </w:pPr>
    <w:r>
      <w:rPr>
        <w:rFonts w:ascii="Times New Roman" w:hAnsi="Times New Roman"/>
        <w:sz w:val="24"/>
        <w:szCs w:val="24"/>
        <w:lang w:val="en-US"/>
      </w:rPr>
      <w:t>285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05D" w:rsidRDefault="00BC005D" w:rsidP="00D845A4">
      <w:pPr>
        <w:spacing w:after="0" w:line="240" w:lineRule="auto"/>
      </w:pPr>
      <w:r>
        <w:separator/>
      </w:r>
    </w:p>
    <w:p w:rsidR="00BC005D" w:rsidRDefault="00BC005D"/>
    <w:p w:rsidR="00BC005D" w:rsidRDefault="00BC005D" w:rsidP="008D5506"/>
  </w:footnote>
  <w:footnote w:type="continuationSeparator" w:id="0">
    <w:p w:rsidR="00BC005D" w:rsidRDefault="00BC005D" w:rsidP="00D845A4">
      <w:pPr>
        <w:spacing w:after="0" w:line="240" w:lineRule="auto"/>
      </w:pPr>
      <w:r>
        <w:continuationSeparator/>
      </w:r>
    </w:p>
    <w:p w:rsidR="00BC005D" w:rsidRDefault="00BC005D"/>
    <w:p w:rsidR="00BC005D" w:rsidRDefault="00BC005D" w:rsidP="008D55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5D" w:rsidRPr="00B60589" w:rsidRDefault="00BC005D" w:rsidP="00B60589">
    <w:pPr>
      <w:pStyle w:val="Footer"/>
      <w:jc w:val="right"/>
      <w:rPr>
        <w:rFonts w:ascii="Times New Roman" w:hAnsi="Times New Roman"/>
        <w:b/>
        <w:sz w:val="24"/>
        <w:szCs w:val="24"/>
      </w:rPr>
    </w:pPr>
    <w:r w:rsidRPr="00B60589">
      <w:rPr>
        <w:rFonts w:ascii="Times New Roman" w:hAnsi="Times New Roman"/>
        <w:b/>
        <w:sz w:val="24"/>
        <w:szCs w:val="24"/>
      </w:rPr>
      <w:t>Appendix I</w:t>
    </w:r>
    <w:r w:rsidR="00951401">
      <w:rPr>
        <w:rFonts w:ascii="Times New Roman" w:hAnsi="Times New Roman"/>
        <w:b/>
        <w:sz w:val="24"/>
        <w:szCs w:val="24"/>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A51"/>
    <w:multiLevelType w:val="hybridMultilevel"/>
    <w:tmpl w:val="788E81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871F9"/>
    <w:multiLevelType w:val="hybridMultilevel"/>
    <w:tmpl w:val="558C4D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A12275"/>
    <w:multiLevelType w:val="hybridMultilevel"/>
    <w:tmpl w:val="466AA3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D04825"/>
    <w:multiLevelType w:val="hybridMultilevel"/>
    <w:tmpl w:val="9CF00BB2"/>
    <w:lvl w:ilvl="0" w:tplc="BB74E1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46A7E"/>
    <w:multiLevelType w:val="hybridMultilevel"/>
    <w:tmpl w:val="854642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EBF3B8A"/>
    <w:multiLevelType w:val="hybridMultilevel"/>
    <w:tmpl w:val="291204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BA302D"/>
    <w:multiLevelType w:val="hybridMultilevel"/>
    <w:tmpl w:val="B8DC6E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23517B"/>
    <w:multiLevelType w:val="hybridMultilevel"/>
    <w:tmpl w:val="F59C055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FDE6B70"/>
    <w:multiLevelType w:val="hybridMultilevel"/>
    <w:tmpl w:val="FF8E9D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50123F"/>
    <w:multiLevelType w:val="hybridMultilevel"/>
    <w:tmpl w:val="555649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6A239A"/>
    <w:multiLevelType w:val="hybridMultilevel"/>
    <w:tmpl w:val="01A09D7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9FD29EA"/>
    <w:multiLevelType w:val="hybridMultilevel"/>
    <w:tmpl w:val="EE5854F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369A1"/>
    <w:multiLevelType w:val="hybridMultilevel"/>
    <w:tmpl w:val="C796640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D046327"/>
    <w:multiLevelType w:val="hybridMultilevel"/>
    <w:tmpl w:val="34F287FC"/>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510E5D36"/>
    <w:multiLevelType w:val="hybridMultilevel"/>
    <w:tmpl w:val="5B1A83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B5374C"/>
    <w:multiLevelType w:val="hybridMultilevel"/>
    <w:tmpl w:val="24C297EA"/>
    <w:lvl w:ilvl="0" w:tplc="F334B2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40688C"/>
    <w:multiLevelType w:val="hybridMultilevel"/>
    <w:tmpl w:val="71FA184A"/>
    <w:lvl w:ilvl="0" w:tplc="32CAFE78">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519AE"/>
    <w:multiLevelType w:val="hybridMultilevel"/>
    <w:tmpl w:val="EA1CC4EE"/>
    <w:lvl w:ilvl="0" w:tplc="0414E9B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595E2F"/>
    <w:multiLevelType w:val="hybridMultilevel"/>
    <w:tmpl w:val="FF6ECE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266E6F"/>
    <w:multiLevelType w:val="hybridMultilevel"/>
    <w:tmpl w:val="EC3C80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B0BAB"/>
    <w:multiLevelType w:val="hybridMultilevel"/>
    <w:tmpl w:val="08F29DA2"/>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AC0590"/>
    <w:multiLevelType w:val="hybridMultilevel"/>
    <w:tmpl w:val="27AC607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
  </w:num>
  <w:num w:numId="4">
    <w:abstractNumId w:val="8"/>
  </w:num>
  <w:num w:numId="5">
    <w:abstractNumId w:val="13"/>
  </w:num>
  <w:num w:numId="6">
    <w:abstractNumId w:val="21"/>
  </w:num>
  <w:num w:numId="7">
    <w:abstractNumId w:val="1"/>
  </w:num>
  <w:num w:numId="8">
    <w:abstractNumId w:val="14"/>
  </w:num>
  <w:num w:numId="9">
    <w:abstractNumId w:val="19"/>
  </w:num>
  <w:num w:numId="10">
    <w:abstractNumId w:val="9"/>
  </w:num>
  <w:num w:numId="11">
    <w:abstractNumId w:val="20"/>
  </w:num>
  <w:num w:numId="12">
    <w:abstractNumId w:val="6"/>
  </w:num>
  <w:num w:numId="13">
    <w:abstractNumId w:val="0"/>
  </w:num>
  <w:num w:numId="14">
    <w:abstractNumId w:val="7"/>
  </w:num>
  <w:num w:numId="15">
    <w:abstractNumId w:val="4"/>
  </w:num>
  <w:num w:numId="16">
    <w:abstractNumId w:val="12"/>
  </w:num>
  <w:num w:numId="17">
    <w:abstractNumId w:val="16"/>
  </w:num>
  <w:num w:numId="18">
    <w:abstractNumId w:val="18"/>
  </w:num>
  <w:num w:numId="19">
    <w:abstractNumId w:val="11"/>
  </w:num>
  <w:num w:numId="20">
    <w:abstractNumId w:val="3"/>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0C"/>
    <w:rsid w:val="00003378"/>
    <w:rsid w:val="0000417F"/>
    <w:rsid w:val="00012D11"/>
    <w:rsid w:val="0002614E"/>
    <w:rsid w:val="00030628"/>
    <w:rsid w:val="0006192C"/>
    <w:rsid w:val="00062106"/>
    <w:rsid w:val="000708BC"/>
    <w:rsid w:val="00076A0E"/>
    <w:rsid w:val="000775B2"/>
    <w:rsid w:val="000821CE"/>
    <w:rsid w:val="00085AD7"/>
    <w:rsid w:val="0009269D"/>
    <w:rsid w:val="000A10C6"/>
    <w:rsid w:val="000B08EB"/>
    <w:rsid w:val="000B0F99"/>
    <w:rsid w:val="000B2D90"/>
    <w:rsid w:val="000B411D"/>
    <w:rsid w:val="000C1E6C"/>
    <w:rsid w:val="000E2B75"/>
    <w:rsid w:val="000E64B0"/>
    <w:rsid w:val="000F273A"/>
    <w:rsid w:val="000F603F"/>
    <w:rsid w:val="00105D73"/>
    <w:rsid w:val="00120F65"/>
    <w:rsid w:val="0012525D"/>
    <w:rsid w:val="001445BD"/>
    <w:rsid w:val="0014509F"/>
    <w:rsid w:val="00145CFD"/>
    <w:rsid w:val="00151A53"/>
    <w:rsid w:val="001623D1"/>
    <w:rsid w:val="0017113C"/>
    <w:rsid w:val="00174161"/>
    <w:rsid w:val="0018196C"/>
    <w:rsid w:val="00182C80"/>
    <w:rsid w:val="00183572"/>
    <w:rsid w:val="00190E0C"/>
    <w:rsid w:val="001A2033"/>
    <w:rsid w:val="001B22BD"/>
    <w:rsid w:val="001B4C32"/>
    <w:rsid w:val="001C0C1C"/>
    <w:rsid w:val="001D6EFD"/>
    <w:rsid w:val="001E119E"/>
    <w:rsid w:val="001E709B"/>
    <w:rsid w:val="001F21CA"/>
    <w:rsid w:val="001F361D"/>
    <w:rsid w:val="002130C0"/>
    <w:rsid w:val="0022161B"/>
    <w:rsid w:val="00237399"/>
    <w:rsid w:val="00241A86"/>
    <w:rsid w:val="002501A9"/>
    <w:rsid w:val="00250607"/>
    <w:rsid w:val="002561F5"/>
    <w:rsid w:val="00270C6C"/>
    <w:rsid w:val="00275EAB"/>
    <w:rsid w:val="002820C5"/>
    <w:rsid w:val="00282964"/>
    <w:rsid w:val="00282B62"/>
    <w:rsid w:val="00292D8B"/>
    <w:rsid w:val="002A3CBA"/>
    <w:rsid w:val="002C4DC9"/>
    <w:rsid w:val="002D167C"/>
    <w:rsid w:val="002D37ED"/>
    <w:rsid w:val="003108C5"/>
    <w:rsid w:val="0034224C"/>
    <w:rsid w:val="003443E5"/>
    <w:rsid w:val="00346E16"/>
    <w:rsid w:val="003509EC"/>
    <w:rsid w:val="00357503"/>
    <w:rsid w:val="003614E8"/>
    <w:rsid w:val="00366651"/>
    <w:rsid w:val="0038147D"/>
    <w:rsid w:val="00381726"/>
    <w:rsid w:val="00387562"/>
    <w:rsid w:val="00390223"/>
    <w:rsid w:val="00396D33"/>
    <w:rsid w:val="00397A35"/>
    <w:rsid w:val="003A40CD"/>
    <w:rsid w:val="003D0C53"/>
    <w:rsid w:val="003F5525"/>
    <w:rsid w:val="003F76D0"/>
    <w:rsid w:val="00404466"/>
    <w:rsid w:val="00462E76"/>
    <w:rsid w:val="00482AA2"/>
    <w:rsid w:val="00484F3E"/>
    <w:rsid w:val="004917EE"/>
    <w:rsid w:val="00492FDE"/>
    <w:rsid w:val="004A28FE"/>
    <w:rsid w:val="004A4F31"/>
    <w:rsid w:val="004A664E"/>
    <w:rsid w:val="004B0256"/>
    <w:rsid w:val="004B2E17"/>
    <w:rsid w:val="004D55AB"/>
    <w:rsid w:val="004D7091"/>
    <w:rsid w:val="004F67F0"/>
    <w:rsid w:val="00507C52"/>
    <w:rsid w:val="0052677D"/>
    <w:rsid w:val="00534D7E"/>
    <w:rsid w:val="005364A8"/>
    <w:rsid w:val="00541A46"/>
    <w:rsid w:val="005501A3"/>
    <w:rsid w:val="005548C1"/>
    <w:rsid w:val="00556979"/>
    <w:rsid w:val="00564AF3"/>
    <w:rsid w:val="00583685"/>
    <w:rsid w:val="00590316"/>
    <w:rsid w:val="005A3028"/>
    <w:rsid w:val="005C33E6"/>
    <w:rsid w:val="005C5AE1"/>
    <w:rsid w:val="005D2079"/>
    <w:rsid w:val="005F3436"/>
    <w:rsid w:val="006076BA"/>
    <w:rsid w:val="0062635F"/>
    <w:rsid w:val="0063733D"/>
    <w:rsid w:val="006431F8"/>
    <w:rsid w:val="00653C79"/>
    <w:rsid w:val="00654BAE"/>
    <w:rsid w:val="006622CB"/>
    <w:rsid w:val="00665892"/>
    <w:rsid w:val="00671DB9"/>
    <w:rsid w:val="0067312D"/>
    <w:rsid w:val="00677C8C"/>
    <w:rsid w:val="006B7402"/>
    <w:rsid w:val="006C558B"/>
    <w:rsid w:val="006D06CA"/>
    <w:rsid w:val="006D1F70"/>
    <w:rsid w:val="006E0AF7"/>
    <w:rsid w:val="006F2C07"/>
    <w:rsid w:val="006F628A"/>
    <w:rsid w:val="00713524"/>
    <w:rsid w:val="007168C0"/>
    <w:rsid w:val="00730953"/>
    <w:rsid w:val="00733EC9"/>
    <w:rsid w:val="00745FAB"/>
    <w:rsid w:val="007469BF"/>
    <w:rsid w:val="00763621"/>
    <w:rsid w:val="007730C8"/>
    <w:rsid w:val="00774922"/>
    <w:rsid w:val="0078063B"/>
    <w:rsid w:val="00790F16"/>
    <w:rsid w:val="00794F04"/>
    <w:rsid w:val="007958EF"/>
    <w:rsid w:val="007A7C6B"/>
    <w:rsid w:val="007D3BDF"/>
    <w:rsid w:val="007E3CC1"/>
    <w:rsid w:val="007E4019"/>
    <w:rsid w:val="007F69DF"/>
    <w:rsid w:val="00812BA2"/>
    <w:rsid w:val="0081750A"/>
    <w:rsid w:val="00827634"/>
    <w:rsid w:val="0084348B"/>
    <w:rsid w:val="00855713"/>
    <w:rsid w:val="00857C33"/>
    <w:rsid w:val="00862AEE"/>
    <w:rsid w:val="00863F8E"/>
    <w:rsid w:val="008712C7"/>
    <w:rsid w:val="00877046"/>
    <w:rsid w:val="00882ECB"/>
    <w:rsid w:val="008860DC"/>
    <w:rsid w:val="00890CB5"/>
    <w:rsid w:val="0089451A"/>
    <w:rsid w:val="00895C55"/>
    <w:rsid w:val="0089634E"/>
    <w:rsid w:val="008B717C"/>
    <w:rsid w:val="008C6E03"/>
    <w:rsid w:val="008C6E66"/>
    <w:rsid w:val="008D1CFD"/>
    <w:rsid w:val="008D5506"/>
    <w:rsid w:val="008E41AF"/>
    <w:rsid w:val="008F3889"/>
    <w:rsid w:val="00911215"/>
    <w:rsid w:val="00917684"/>
    <w:rsid w:val="00930181"/>
    <w:rsid w:val="0094470E"/>
    <w:rsid w:val="00951401"/>
    <w:rsid w:val="00951D80"/>
    <w:rsid w:val="00963349"/>
    <w:rsid w:val="00972468"/>
    <w:rsid w:val="00973172"/>
    <w:rsid w:val="009912C4"/>
    <w:rsid w:val="0099245B"/>
    <w:rsid w:val="00994253"/>
    <w:rsid w:val="009A1B21"/>
    <w:rsid w:val="009B1865"/>
    <w:rsid w:val="009F59C8"/>
    <w:rsid w:val="00A015AB"/>
    <w:rsid w:val="00A127EE"/>
    <w:rsid w:val="00A217FD"/>
    <w:rsid w:val="00A25FCC"/>
    <w:rsid w:val="00A27F3A"/>
    <w:rsid w:val="00A322A6"/>
    <w:rsid w:val="00A41123"/>
    <w:rsid w:val="00A464E4"/>
    <w:rsid w:val="00A576E7"/>
    <w:rsid w:val="00A860C1"/>
    <w:rsid w:val="00A930C1"/>
    <w:rsid w:val="00AA6B7C"/>
    <w:rsid w:val="00AE6E24"/>
    <w:rsid w:val="00AF4B59"/>
    <w:rsid w:val="00B017AA"/>
    <w:rsid w:val="00B0672B"/>
    <w:rsid w:val="00B21D84"/>
    <w:rsid w:val="00B22FA7"/>
    <w:rsid w:val="00B5292E"/>
    <w:rsid w:val="00B55D41"/>
    <w:rsid w:val="00B56590"/>
    <w:rsid w:val="00B56DAB"/>
    <w:rsid w:val="00B60589"/>
    <w:rsid w:val="00B60692"/>
    <w:rsid w:val="00B64999"/>
    <w:rsid w:val="00B65FE3"/>
    <w:rsid w:val="00B72F4D"/>
    <w:rsid w:val="00B8427C"/>
    <w:rsid w:val="00B9282E"/>
    <w:rsid w:val="00BA10D4"/>
    <w:rsid w:val="00BA3132"/>
    <w:rsid w:val="00BA4D8C"/>
    <w:rsid w:val="00BA7FA5"/>
    <w:rsid w:val="00BC005D"/>
    <w:rsid w:val="00BC4D10"/>
    <w:rsid w:val="00BC5264"/>
    <w:rsid w:val="00BD3230"/>
    <w:rsid w:val="00BE0D93"/>
    <w:rsid w:val="00BF60F5"/>
    <w:rsid w:val="00BF6F88"/>
    <w:rsid w:val="00C05E15"/>
    <w:rsid w:val="00C0793D"/>
    <w:rsid w:val="00C07CF1"/>
    <w:rsid w:val="00C12801"/>
    <w:rsid w:val="00C2740E"/>
    <w:rsid w:val="00C42E64"/>
    <w:rsid w:val="00C532B2"/>
    <w:rsid w:val="00C5509E"/>
    <w:rsid w:val="00C65F25"/>
    <w:rsid w:val="00C770F7"/>
    <w:rsid w:val="00C94293"/>
    <w:rsid w:val="00CA3978"/>
    <w:rsid w:val="00CB7779"/>
    <w:rsid w:val="00CC7EE6"/>
    <w:rsid w:val="00CD07C0"/>
    <w:rsid w:val="00D1255C"/>
    <w:rsid w:val="00D259B1"/>
    <w:rsid w:val="00D26D71"/>
    <w:rsid w:val="00D31A73"/>
    <w:rsid w:val="00D42C6F"/>
    <w:rsid w:val="00D44C36"/>
    <w:rsid w:val="00D57670"/>
    <w:rsid w:val="00D71FED"/>
    <w:rsid w:val="00D845A4"/>
    <w:rsid w:val="00DA08F4"/>
    <w:rsid w:val="00DA4221"/>
    <w:rsid w:val="00DB5509"/>
    <w:rsid w:val="00DC1CC8"/>
    <w:rsid w:val="00DC5053"/>
    <w:rsid w:val="00DD2C86"/>
    <w:rsid w:val="00DD4EE3"/>
    <w:rsid w:val="00DE1EB5"/>
    <w:rsid w:val="00DE77F0"/>
    <w:rsid w:val="00DF75EE"/>
    <w:rsid w:val="00E32129"/>
    <w:rsid w:val="00E5269F"/>
    <w:rsid w:val="00E56CD3"/>
    <w:rsid w:val="00E6325A"/>
    <w:rsid w:val="00E835AA"/>
    <w:rsid w:val="00E852CA"/>
    <w:rsid w:val="00ED0095"/>
    <w:rsid w:val="00ED3AD0"/>
    <w:rsid w:val="00ED561F"/>
    <w:rsid w:val="00ED7911"/>
    <w:rsid w:val="00EE50F7"/>
    <w:rsid w:val="00F01C95"/>
    <w:rsid w:val="00F1322E"/>
    <w:rsid w:val="00F13546"/>
    <w:rsid w:val="00F241E4"/>
    <w:rsid w:val="00F37FD2"/>
    <w:rsid w:val="00F60802"/>
    <w:rsid w:val="00F628A0"/>
    <w:rsid w:val="00F74851"/>
    <w:rsid w:val="00F87BFB"/>
    <w:rsid w:val="00F958E5"/>
    <w:rsid w:val="00FC2C04"/>
    <w:rsid w:val="00FC3B32"/>
    <w:rsid w:val="00FE794C"/>
    <w:rsid w:val="00FF4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EC0BB323-3B5C-4D85-A83D-D4B805C1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5A4"/>
    <w:pPr>
      <w:spacing w:after="200" w:line="276" w:lineRule="auto"/>
      <w:ind w:left="0" w:firstLine="0"/>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4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5A4"/>
    <w:rPr>
      <w:rFonts w:ascii="Calibri" w:eastAsia="Calibri" w:hAnsi="Calibri"/>
      <w:sz w:val="20"/>
      <w:szCs w:val="20"/>
    </w:rPr>
  </w:style>
  <w:style w:type="character" w:styleId="FootnoteReference">
    <w:name w:val="footnote reference"/>
    <w:uiPriority w:val="99"/>
    <w:semiHidden/>
    <w:unhideWhenUsed/>
    <w:rsid w:val="00D845A4"/>
    <w:rPr>
      <w:vertAlign w:val="superscript"/>
    </w:rPr>
  </w:style>
  <w:style w:type="paragraph" w:styleId="Header">
    <w:name w:val="header"/>
    <w:basedOn w:val="Normal"/>
    <w:link w:val="HeaderChar"/>
    <w:uiPriority w:val="99"/>
    <w:unhideWhenUsed/>
    <w:rsid w:val="00B60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589"/>
    <w:rPr>
      <w:rFonts w:ascii="Calibri" w:eastAsia="Calibri" w:hAnsi="Calibri"/>
      <w:sz w:val="22"/>
      <w:szCs w:val="22"/>
    </w:rPr>
  </w:style>
  <w:style w:type="paragraph" w:styleId="Footer">
    <w:name w:val="footer"/>
    <w:basedOn w:val="Normal"/>
    <w:link w:val="FooterChar"/>
    <w:uiPriority w:val="99"/>
    <w:unhideWhenUsed/>
    <w:rsid w:val="00B60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589"/>
    <w:rPr>
      <w:rFonts w:ascii="Calibri" w:eastAsia="Calibri" w:hAnsi="Calibri"/>
      <w:sz w:val="22"/>
      <w:szCs w:val="22"/>
    </w:rPr>
  </w:style>
  <w:style w:type="paragraph" w:styleId="BalloonText">
    <w:name w:val="Balloon Text"/>
    <w:basedOn w:val="Normal"/>
    <w:link w:val="BalloonTextChar"/>
    <w:uiPriority w:val="99"/>
    <w:semiHidden/>
    <w:unhideWhenUsed/>
    <w:rsid w:val="004A6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64E"/>
    <w:rPr>
      <w:rFonts w:ascii="Segoe UI" w:eastAsia="Calibri" w:hAnsi="Segoe UI" w:cs="Segoe UI"/>
      <w:sz w:val="18"/>
      <w:szCs w:val="18"/>
    </w:rPr>
  </w:style>
  <w:style w:type="paragraph" w:styleId="ListParagraph">
    <w:name w:val="List Paragraph"/>
    <w:basedOn w:val="Normal"/>
    <w:uiPriority w:val="34"/>
    <w:qFormat/>
    <w:rsid w:val="00654BAE"/>
    <w:pPr>
      <w:ind w:left="720"/>
      <w:contextualSpacing/>
    </w:pPr>
  </w:style>
  <w:style w:type="character" w:styleId="Hyperlink">
    <w:name w:val="Hyperlink"/>
    <w:basedOn w:val="DefaultParagraphFont"/>
    <w:uiPriority w:val="99"/>
    <w:unhideWhenUsed/>
    <w:rsid w:val="00877046"/>
    <w:rPr>
      <w:color w:val="0563C1" w:themeColor="hyperlink"/>
      <w:u w:val="single"/>
    </w:rPr>
  </w:style>
  <w:style w:type="character" w:styleId="FollowedHyperlink">
    <w:name w:val="FollowedHyperlink"/>
    <w:basedOn w:val="DefaultParagraphFont"/>
    <w:uiPriority w:val="99"/>
    <w:semiHidden/>
    <w:unhideWhenUsed/>
    <w:rsid w:val="00EE50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hyperlink" Target="01_National_Audit_Office.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_001_Contents.docx" TargetMode="External"/><Relationship Id="rId12" Type="http://schemas.openxmlformats.org/officeDocument/2006/relationships/hyperlink" Target="_001_Contents.doc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001_Contents.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01_National_Audit_Office.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01_National_Audit_Office.docx" TargetMode="External"/><Relationship Id="rId14" Type="http://schemas.openxmlformats.org/officeDocument/2006/relationships/hyperlink" Target="01_National_Audit_Offi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2018-02-26T14:52:00Z</cp:lastPrinted>
  <dcterms:created xsi:type="dcterms:W3CDTF">2018-03-22T08:54:00Z</dcterms:created>
  <dcterms:modified xsi:type="dcterms:W3CDTF">2018-03-26T04:35:00Z</dcterms:modified>
</cp:coreProperties>
</file>