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2E" w:rsidRDefault="00462716" w:rsidP="00D809F4">
      <w:pPr>
        <w:pStyle w:val="Default"/>
        <w:jc w:val="both"/>
        <w:rPr>
          <w:rFonts w:ascii="Times New Roman" w:hAnsi="Times New Roman"/>
          <w:b/>
          <w:sz w:val="24"/>
          <w:szCs w:val="24"/>
        </w:rPr>
      </w:pPr>
      <w:r>
        <w:rPr>
          <w:rFonts w:ascii="Times New Roman" w:hAnsi="Times New Roman"/>
          <w:b/>
          <w:noProof/>
          <w:sz w:val="24"/>
          <w:szCs w:val="24"/>
          <w:lang w:eastAsia="en-GB"/>
        </w:rPr>
        <w:pict w14:anchorId="42DBD914">
          <v:shapetype id="_x0000_t202" coordsize="21600,21600" o:spt="202" path="m,l,21600r21600,l21600,xe">
            <v:stroke joinstyle="miter"/>
            <v:path gradientshapeok="t" o:connecttype="rect"/>
          </v:shapetype>
          <v:shape id="Text Box 2" o:spid="_x0000_s1026" type="#_x0000_t202" style="position:absolute;left:0;text-align:left;margin-left:384.75pt;margin-top:-89.9pt;width:105.35pt;height:22.5pt;z-index:251658240;visibility:visible;mso-wrap-distance-top:3.6pt;mso-wrap-distance-bottom:3.6pt;mso-width-relative:margin;mso-height-relative:margin" stroked="f">
            <v:textbox>
              <w:txbxContent>
                <w:p w:rsidR="00462716" w:rsidRPr="009F119E" w:rsidRDefault="00462716" w:rsidP="006B49BE">
                  <w:pPr>
                    <w:jc w:val="center"/>
                    <w:rPr>
                      <w:color w:val="7030A0"/>
                      <w:u w:val="single"/>
                    </w:rPr>
                  </w:pPr>
                  <w:hyperlink r:id="rId10" w:history="1">
                    <w:r w:rsidRPr="009F119E">
                      <w:rPr>
                        <w:rStyle w:val="Hyperlink"/>
                      </w:rPr>
                      <w:t>Back to Contents</w:t>
                    </w:r>
                  </w:hyperlink>
                </w:p>
              </w:txbxContent>
            </v:textbox>
            <w10:wrap type="square"/>
          </v:shape>
        </w:pict>
      </w:r>
    </w:p>
    <w:p w:rsidR="0044573D" w:rsidRDefault="00C95057" w:rsidP="00D809F4">
      <w:pPr>
        <w:pStyle w:val="Default"/>
        <w:jc w:val="both"/>
        <w:rPr>
          <w:rFonts w:ascii="Times New Roman" w:hAnsi="Times New Roman"/>
          <w:b/>
          <w:sz w:val="24"/>
          <w:szCs w:val="24"/>
        </w:rPr>
      </w:pPr>
      <w:r>
        <w:rPr>
          <w:rFonts w:ascii="Times New Roman" w:hAnsi="Times New Roman"/>
          <w:b/>
          <w:sz w:val="24"/>
          <w:szCs w:val="24"/>
        </w:rPr>
        <w:t>22.1</w:t>
      </w:r>
      <w:r>
        <w:rPr>
          <w:rFonts w:ascii="Times New Roman" w:hAnsi="Times New Roman"/>
          <w:b/>
          <w:sz w:val="24"/>
          <w:szCs w:val="24"/>
        </w:rPr>
        <w:tab/>
      </w:r>
      <w:r w:rsidR="00ED212E" w:rsidRPr="00ED212E">
        <w:rPr>
          <w:rFonts w:ascii="Times New Roman" w:hAnsi="Times New Roman"/>
          <w:b/>
          <w:sz w:val="24"/>
          <w:szCs w:val="24"/>
        </w:rPr>
        <w:t>Background</w:t>
      </w:r>
    </w:p>
    <w:p w:rsidR="00ED212E" w:rsidRPr="00ED212E" w:rsidRDefault="00ED212E" w:rsidP="00D809F4">
      <w:pPr>
        <w:pStyle w:val="Default"/>
        <w:jc w:val="both"/>
        <w:rPr>
          <w:rFonts w:ascii="Times New Roman" w:hAnsi="Times New Roman"/>
          <w:b/>
          <w:sz w:val="24"/>
          <w:szCs w:val="24"/>
        </w:rPr>
      </w:pPr>
    </w:p>
    <w:p w:rsidR="00065ABA" w:rsidRPr="002F187B" w:rsidRDefault="00065ABA" w:rsidP="00D809F4">
      <w:pPr>
        <w:pStyle w:val="Default"/>
        <w:jc w:val="both"/>
        <w:rPr>
          <w:rFonts w:ascii="Times New Roman" w:hAnsi="Times New Roman"/>
          <w:sz w:val="24"/>
          <w:szCs w:val="24"/>
        </w:rPr>
      </w:pPr>
      <w:r w:rsidRPr="002F187B">
        <w:rPr>
          <w:rFonts w:ascii="Times New Roman" w:hAnsi="Times New Roman"/>
          <w:sz w:val="24"/>
          <w:szCs w:val="24"/>
        </w:rPr>
        <w:t xml:space="preserve">The Director of Audit is empowered, in addition </w:t>
      </w:r>
      <w:r w:rsidR="00EF778B" w:rsidRPr="002F187B">
        <w:rPr>
          <w:rFonts w:ascii="Times New Roman" w:hAnsi="Times New Roman"/>
          <w:sz w:val="24"/>
          <w:szCs w:val="24"/>
        </w:rPr>
        <w:t>to the audit of all Ministries/</w:t>
      </w:r>
      <w:r w:rsidRPr="002F187B">
        <w:rPr>
          <w:rFonts w:ascii="Times New Roman" w:hAnsi="Times New Roman"/>
          <w:sz w:val="24"/>
          <w:szCs w:val="24"/>
        </w:rPr>
        <w:t>Departments and the Rodrigues Regional Assembly, to audit the accounts of all Local Authorities, most Statutory Bodies, several Special Funds</w:t>
      </w:r>
      <w:r w:rsidR="007F5164">
        <w:rPr>
          <w:rFonts w:ascii="Times New Roman" w:hAnsi="Times New Roman"/>
          <w:sz w:val="24"/>
          <w:szCs w:val="24"/>
        </w:rPr>
        <w:t xml:space="preserve">, </w:t>
      </w:r>
      <w:r w:rsidR="006817EA">
        <w:rPr>
          <w:rFonts w:ascii="Times New Roman" w:hAnsi="Times New Roman"/>
          <w:sz w:val="24"/>
          <w:szCs w:val="24"/>
        </w:rPr>
        <w:t xml:space="preserve">a few </w:t>
      </w:r>
      <w:r w:rsidR="004F05B6">
        <w:rPr>
          <w:rFonts w:ascii="Times New Roman" w:hAnsi="Times New Roman"/>
          <w:sz w:val="24"/>
          <w:szCs w:val="24"/>
        </w:rPr>
        <w:t>State Owned</w:t>
      </w:r>
      <w:r w:rsidR="007F5164">
        <w:rPr>
          <w:rFonts w:ascii="Times New Roman" w:hAnsi="Times New Roman"/>
          <w:sz w:val="24"/>
          <w:szCs w:val="24"/>
        </w:rPr>
        <w:t xml:space="preserve"> Companies</w:t>
      </w:r>
      <w:r w:rsidRPr="002F187B">
        <w:rPr>
          <w:rFonts w:ascii="Times New Roman" w:hAnsi="Times New Roman"/>
          <w:sz w:val="24"/>
          <w:szCs w:val="24"/>
        </w:rPr>
        <w:t xml:space="preserve"> and several </w:t>
      </w:r>
      <w:r w:rsidR="00BD58D0" w:rsidRPr="002F187B">
        <w:rPr>
          <w:rFonts w:ascii="Times New Roman" w:hAnsi="Times New Roman"/>
          <w:sz w:val="24"/>
          <w:szCs w:val="24"/>
        </w:rPr>
        <w:t xml:space="preserve">other bodies including </w:t>
      </w:r>
      <w:r w:rsidRPr="002F187B">
        <w:rPr>
          <w:rFonts w:ascii="Times New Roman" w:hAnsi="Times New Roman"/>
          <w:sz w:val="24"/>
          <w:szCs w:val="24"/>
        </w:rPr>
        <w:t>donor-funded projects as per provisions made in the Finance and Audit Act, the Local Government Act, the Statutory Bodies (Accounts and Audit) Act, and various legislations/agreements of institutions/donor-funded projects.</w:t>
      </w:r>
    </w:p>
    <w:p w:rsidR="00065ABA" w:rsidRPr="002F187B" w:rsidRDefault="00065ABA" w:rsidP="00D809F4">
      <w:pPr>
        <w:pStyle w:val="Default"/>
        <w:jc w:val="both"/>
        <w:rPr>
          <w:rFonts w:ascii="Times New Roman" w:hAnsi="Times New Roman"/>
          <w:sz w:val="24"/>
          <w:szCs w:val="24"/>
        </w:rPr>
      </w:pPr>
    </w:p>
    <w:p w:rsidR="00065ABA" w:rsidRPr="002F187B" w:rsidRDefault="00065ABA" w:rsidP="00D809F4">
      <w:pPr>
        <w:pStyle w:val="Default"/>
        <w:jc w:val="both"/>
        <w:rPr>
          <w:rFonts w:ascii="Times New Roman" w:hAnsi="Times New Roman"/>
          <w:sz w:val="24"/>
          <w:szCs w:val="24"/>
        </w:rPr>
      </w:pPr>
    </w:p>
    <w:p w:rsidR="00065ABA" w:rsidRPr="002F187B" w:rsidRDefault="00366A1A" w:rsidP="00D809F4">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970C3E">
        <w:rPr>
          <w:rFonts w:ascii="Times New Roman" w:hAnsi="Times New Roman" w:cs="Times New Roman"/>
          <w:b/>
          <w:sz w:val="24"/>
          <w:szCs w:val="24"/>
        </w:rPr>
        <w:t>2</w:t>
      </w:r>
      <w:r w:rsidR="00065ABA" w:rsidRPr="002F187B">
        <w:rPr>
          <w:rFonts w:ascii="Times New Roman" w:hAnsi="Times New Roman" w:cs="Times New Roman"/>
          <w:b/>
          <w:sz w:val="24"/>
          <w:szCs w:val="24"/>
        </w:rPr>
        <w:t>.</w:t>
      </w:r>
      <w:r w:rsidR="00683881">
        <w:rPr>
          <w:rFonts w:ascii="Times New Roman" w:hAnsi="Times New Roman" w:cs="Times New Roman"/>
          <w:b/>
          <w:sz w:val="24"/>
          <w:szCs w:val="24"/>
        </w:rPr>
        <w:t>2</w:t>
      </w:r>
      <w:r w:rsidR="00C95057">
        <w:rPr>
          <w:rFonts w:ascii="Times New Roman" w:hAnsi="Times New Roman" w:cs="Times New Roman"/>
          <w:b/>
          <w:sz w:val="24"/>
          <w:szCs w:val="24"/>
        </w:rPr>
        <w:tab/>
      </w:r>
      <w:r w:rsidR="00065ABA" w:rsidRPr="002F187B">
        <w:rPr>
          <w:rFonts w:ascii="Times New Roman" w:hAnsi="Times New Roman" w:cs="Times New Roman"/>
          <w:b/>
          <w:sz w:val="24"/>
          <w:szCs w:val="24"/>
        </w:rPr>
        <w:t>Statutory Bodies</w:t>
      </w:r>
    </w:p>
    <w:p w:rsidR="00065ABA" w:rsidRPr="002F187B" w:rsidRDefault="00065ABA" w:rsidP="00D809F4">
      <w:pPr>
        <w:pStyle w:val="BodyText"/>
        <w:kinsoku w:val="0"/>
        <w:overflowPunct w:val="0"/>
        <w:ind w:left="0" w:right="27"/>
        <w:jc w:val="both"/>
      </w:pPr>
      <w:r w:rsidRPr="002F187B">
        <w:t>A statutory body is a body created by statute and it is usually established to carry out specific functions which a Government considers may be more effectively performed outside a traditional departmental structure. While it is recognised that statutory bodies may be established to allow a certain level of independence</w:t>
      </w:r>
      <w:r w:rsidR="002746D9">
        <w:t xml:space="preserve"> from Government, there is need</w:t>
      </w:r>
      <w:r w:rsidRPr="002F187B">
        <w:t xml:space="preserve"> to ensure that taxpayers</w:t>
      </w:r>
      <w:r w:rsidR="00455613" w:rsidRPr="002F187B">
        <w:t>’</w:t>
      </w:r>
      <w:r w:rsidRPr="002F187B">
        <w:t xml:space="preserve"> funds </w:t>
      </w:r>
      <w:r w:rsidR="00E20CF6" w:rsidRPr="002F187B">
        <w:t>allocated</w:t>
      </w:r>
      <w:r w:rsidR="002746D9">
        <w:t xml:space="preserve"> </w:t>
      </w:r>
      <w:r w:rsidR="00E20CF6" w:rsidRPr="002F187B">
        <w:t xml:space="preserve">to </w:t>
      </w:r>
      <w:r w:rsidRPr="002F187B">
        <w:t>the operations of statutory bodies are spent in an efficient, effective and economic manner.</w:t>
      </w:r>
    </w:p>
    <w:p w:rsidR="00065ABA" w:rsidRPr="002F187B" w:rsidRDefault="00065ABA" w:rsidP="00D809F4">
      <w:pPr>
        <w:pStyle w:val="BodyText"/>
        <w:kinsoku w:val="0"/>
        <w:overflowPunct w:val="0"/>
        <w:ind w:left="0" w:right="27"/>
        <w:jc w:val="both"/>
        <w:rPr>
          <w:sz w:val="26"/>
          <w:szCs w:val="26"/>
        </w:rPr>
      </w:pPr>
    </w:p>
    <w:p w:rsidR="00065ABA" w:rsidRPr="002F187B" w:rsidRDefault="00065ABA" w:rsidP="00D809F4">
      <w:pPr>
        <w:pStyle w:val="BodyText"/>
        <w:kinsoku w:val="0"/>
        <w:overflowPunct w:val="0"/>
        <w:ind w:left="0" w:right="27"/>
        <w:jc w:val="both"/>
      </w:pPr>
      <w:r w:rsidRPr="002F187B">
        <w:t>Statutory bodies are subject to varying degrees of Ministerial control which are specified in the legislation establishing them. Ministers are responsible to the National Assembly for the operation of all statutory bodies within their portfolios, and are required to table their annual reports in the National Assembly.</w:t>
      </w:r>
    </w:p>
    <w:p w:rsidR="00065ABA" w:rsidRPr="002F187B" w:rsidRDefault="00065ABA" w:rsidP="00D809F4">
      <w:pPr>
        <w:pStyle w:val="BodyText"/>
        <w:kinsoku w:val="0"/>
        <w:overflowPunct w:val="0"/>
        <w:ind w:left="0" w:right="27"/>
        <w:jc w:val="both"/>
        <w:rPr>
          <w:sz w:val="28"/>
          <w:szCs w:val="28"/>
        </w:rPr>
      </w:pPr>
    </w:p>
    <w:p w:rsidR="00065ABA" w:rsidRPr="002F187B" w:rsidRDefault="00065ABA" w:rsidP="00D809F4">
      <w:pPr>
        <w:pStyle w:val="BodyText"/>
        <w:kinsoku w:val="0"/>
        <w:overflowPunct w:val="0"/>
        <w:ind w:left="0" w:right="27"/>
        <w:jc w:val="both"/>
      </w:pPr>
      <w:r w:rsidRPr="002F187B">
        <w:t>The Statutory Bodies (Accounts and Audit) A</w:t>
      </w:r>
      <w:r w:rsidR="00455613" w:rsidRPr="002F187B">
        <w:t xml:space="preserve">ct as subsequently amended in </w:t>
      </w:r>
      <w:r w:rsidRPr="002F187B">
        <w:t>201</w:t>
      </w:r>
      <w:r w:rsidR="00E06A8A">
        <w:t>5</w:t>
      </w:r>
      <w:r w:rsidRPr="002F187B">
        <w:t xml:space="preserve"> provides that every statutory body shall cause to be prepared </w:t>
      </w:r>
      <w:r w:rsidRPr="002F187B">
        <w:rPr>
          <w:bCs/>
        </w:rPr>
        <w:t>an</w:t>
      </w:r>
      <w:r w:rsidR="002746D9">
        <w:rPr>
          <w:bCs/>
        </w:rPr>
        <w:t xml:space="preserve"> </w:t>
      </w:r>
      <w:r w:rsidRPr="002F187B">
        <w:rPr>
          <w:bCs/>
        </w:rPr>
        <w:t>annual report</w:t>
      </w:r>
      <w:r w:rsidRPr="002F187B">
        <w:t>. The annual report shall consist of:</w:t>
      </w:r>
    </w:p>
    <w:p w:rsidR="00F965A3" w:rsidRPr="002F187B" w:rsidRDefault="00F965A3" w:rsidP="00D809F4">
      <w:pPr>
        <w:autoSpaceDE w:val="0"/>
        <w:autoSpaceDN w:val="0"/>
        <w:adjustRightInd w:val="0"/>
        <w:spacing w:after="0" w:line="240" w:lineRule="auto"/>
        <w:jc w:val="both"/>
        <w:rPr>
          <w:rFonts w:ascii="Times New Roman" w:hAnsi="Times New Roman" w:cs="Times New Roman"/>
          <w:sz w:val="24"/>
          <w:szCs w:val="24"/>
        </w:rPr>
      </w:pPr>
    </w:p>
    <w:p w:rsidR="00F965A3" w:rsidRPr="002F187B" w:rsidRDefault="00F965A3" w:rsidP="00D809F4">
      <w:pPr>
        <w:pStyle w:val="ListParagraph"/>
        <w:numPr>
          <w:ilvl w:val="0"/>
          <w:numId w:val="9"/>
        </w:numPr>
        <w:autoSpaceDE w:val="0"/>
        <w:autoSpaceDN w:val="0"/>
        <w:adjustRightInd w:val="0"/>
        <w:spacing w:after="0" w:line="240" w:lineRule="auto"/>
        <w:ind w:left="360"/>
        <w:jc w:val="both"/>
        <w:rPr>
          <w:rFonts w:ascii="Times New Roman" w:hAnsi="Times New Roman" w:cs="Times New Roman"/>
          <w:sz w:val="24"/>
          <w:szCs w:val="24"/>
        </w:rPr>
      </w:pPr>
      <w:r w:rsidRPr="002F187B">
        <w:rPr>
          <w:rFonts w:ascii="Times New Roman" w:hAnsi="Times New Roman" w:cs="Times New Roman"/>
          <w:sz w:val="24"/>
          <w:szCs w:val="24"/>
        </w:rPr>
        <w:t xml:space="preserve">the financial statements in respect of the financial year </w:t>
      </w:r>
      <w:r w:rsidR="00F5087F" w:rsidRPr="002F187B">
        <w:rPr>
          <w:rFonts w:ascii="Times New Roman" w:hAnsi="Times New Roman" w:cs="Times New Roman"/>
          <w:sz w:val="24"/>
          <w:szCs w:val="24"/>
        </w:rPr>
        <w:t>to which the report relates</w:t>
      </w:r>
    </w:p>
    <w:p w:rsidR="00F5087F" w:rsidRPr="002F187B" w:rsidRDefault="00F5087F" w:rsidP="00D809F4">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F965A3" w:rsidRPr="002F187B" w:rsidRDefault="00F965A3" w:rsidP="00D809F4">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2F187B">
        <w:rPr>
          <w:rFonts w:ascii="Times New Roman" w:hAnsi="Times New Roman" w:cs="Times New Roman"/>
          <w:sz w:val="24"/>
          <w:szCs w:val="24"/>
        </w:rPr>
        <w:t>a report on the activities of the statutory body</w:t>
      </w:r>
      <w:r w:rsidR="00F5087F" w:rsidRPr="002F187B">
        <w:rPr>
          <w:rFonts w:ascii="Times New Roman" w:hAnsi="Times New Roman" w:cs="Times New Roman"/>
          <w:sz w:val="24"/>
          <w:szCs w:val="24"/>
        </w:rPr>
        <w:t xml:space="preserve"> during the financial year</w:t>
      </w:r>
    </w:p>
    <w:p w:rsidR="00F5087F" w:rsidRPr="002F187B" w:rsidRDefault="00F5087F" w:rsidP="00D809F4">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065ABA" w:rsidRPr="002F187B" w:rsidRDefault="00F965A3" w:rsidP="00D809F4">
      <w:pPr>
        <w:pStyle w:val="ListParagraph"/>
        <w:numPr>
          <w:ilvl w:val="0"/>
          <w:numId w:val="8"/>
        </w:numPr>
        <w:kinsoku w:val="0"/>
        <w:overflowPunct w:val="0"/>
        <w:spacing w:before="14" w:after="0" w:line="240" w:lineRule="auto"/>
        <w:ind w:right="27"/>
        <w:jc w:val="both"/>
        <w:rPr>
          <w:sz w:val="24"/>
          <w:szCs w:val="24"/>
        </w:rPr>
      </w:pPr>
      <w:proofErr w:type="gramStart"/>
      <w:r w:rsidRPr="002F187B">
        <w:rPr>
          <w:rFonts w:ascii="Times New Roman" w:hAnsi="Times New Roman" w:cs="Times New Roman"/>
          <w:sz w:val="24"/>
          <w:szCs w:val="24"/>
        </w:rPr>
        <w:t>a</w:t>
      </w:r>
      <w:proofErr w:type="gramEnd"/>
      <w:r w:rsidRPr="002F187B">
        <w:rPr>
          <w:rFonts w:ascii="Times New Roman" w:hAnsi="Times New Roman" w:cs="Times New Roman"/>
          <w:sz w:val="24"/>
          <w:szCs w:val="24"/>
        </w:rPr>
        <w:t xml:space="preserve"> corporate governance report in accordance with the National Code of Corporate Governance.</w:t>
      </w:r>
    </w:p>
    <w:p w:rsidR="00F965A3" w:rsidRPr="002F187B" w:rsidRDefault="00F965A3" w:rsidP="00ED212E">
      <w:pPr>
        <w:pStyle w:val="BodyText"/>
        <w:tabs>
          <w:tab w:val="left" w:pos="460"/>
        </w:tabs>
        <w:kinsoku w:val="0"/>
        <w:overflowPunct w:val="0"/>
        <w:ind w:left="0" w:right="27"/>
        <w:jc w:val="both"/>
      </w:pPr>
    </w:p>
    <w:p w:rsidR="00065ABA" w:rsidRPr="002F187B" w:rsidRDefault="00065ABA" w:rsidP="00D809F4">
      <w:pPr>
        <w:pStyle w:val="BodyText"/>
        <w:tabs>
          <w:tab w:val="left" w:pos="460"/>
        </w:tabs>
        <w:kinsoku w:val="0"/>
        <w:overflowPunct w:val="0"/>
        <w:spacing w:after="240"/>
        <w:ind w:left="0" w:right="27"/>
        <w:jc w:val="both"/>
      </w:pPr>
      <w:r w:rsidRPr="002F187B">
        <w:t>Provisions made in the Act regarding the timelines to be respected are as follows:</w:t>
      </w:r>
    </w:p>
    <w:p w:rsidR="00065ABA" w:rsidRPr="002F187B" w:rsidRDefault="00065ABA" w:rsidP="00D809F4">
      <w:pPr>
        <w:pStyle w:val="BodyText"/>
        <w:numPr>
          <w:ilvl w:val="0"/>
          <w:numId w:val="2"/>
        </w:numPr>
        <w:tabs>
          <w:tab w:val="left" w:pos="820"/>
        </w:tabs>
        <w:kinsoku w:val="0"/>
        <w:overflowPunct w:val="0"/>
        <w:ind w:left="360" w:right="27"/>
        <w:jc w:val="both"/>
      </w:pPr>
      <w:r w:rsidRPr="002F187B">
        <w:t xml:space="preserve">The Chief Executive Officer of every statutory body shall, not later than </w:t>
      </w:r>
      <w:r w:rsidRPr="002F187B">
        <w:rPr>
          <w:bCs/>
        </w:rPr>
        <w:t>three months</w:t>
      </w:r>
      <w:r w:rsidR="002746D9">
        <w:rPr>
          <w:bCs/>
        </w:rPr>
        <w:t xml:space="preserve"> </w:t>
      </w:r>
      <w:r w:rsidRPr="002F187B">
        <w:t>after the end of every financial year, submit to the Board for approval the annual report in respect of that year.</w:t>
      </w:r>
      <w:r w:rsidR="00FC3441" w:rsidRPr="002F187B">
        <w:t>(The previous deadline was two months, applicable for financial years prior to 2011)</w:t>
      </w:r>
      <w:r w:rsidR="00D77EB7">
        <w:t>;</w:t>
      </w:r>
    </w:p>
    <w:p w:rsidR="0044573D" w:rsidRPr="002F187B" w:rsidRDefault="0044573D" w:rsidP="00D809F4">
      <w:pPr>
        <w:pStyle w:val="BodyText"/>
        <w:tabs>
          <w:tab w:val="left" w:pos="820"/>
        </w:tabs>
        <w:kinsoku w:val="0"/>
        <w:overflowPunct w:val="0"/>
        <w:ind w:left="360" w:right="27"/>
        <w:jc w:val="both"/>
      </w:pPr>
    </w:p>
    <w:p w:rsidR="00065ABA" w:rsidRDefault="00065ABA" w:rsidP="00D809F4">
      <w:pPr>
        <w:pStyle w:val="BodyText"/>
        <w:numPr>
          <w:ilvl w:val="0"/>
          <w:numId w:val="2"/>
        </w:numPr>
        <w:tabs>
          <w:tab w:val="left" w:pos="820"/>
        </w:tabs>
        <w:kinsoku w:val="0"/>
        <w:overflowPunct w:val="0"/>
        <w:ind w:left="360" w:right="27"/>
        <w:jc w:val="both"/>
      </w:pPr>
      <w:r w:rsidRPr="002F187B">
        <w:t>After approval by the Board, the Chief Executive Of</w:t>
      </w:r>
      <w:r w:rsidR="00455613" w:rsidRPr="002F187B">
        <w:t>ficer shall, not later than 30 April</w:t>
      </w:r>
      <w:r w:rsidR="002746D9">
        <w:t xml:space="preserve"> </w:t>
      </w:r>
      <w:r w:rsidRPr="002F187B">
        <w:t>after the end of every financial year, submit the annual report to the auditor.</w:t>
      </w:r>
      <w:r w:rsidR="00CC1506">
        <w:br/>
      </w:r>
      <w:r w:rsidR="00FC3441" w:rsidRPr="002F187B">
        <w:t xml:space="preserve">(The previous deadline was three months, applicable for financial years prior </w:t>
      </w:r>
      <w:r w:rsidR="00CC5AA0">
        <w:br/>
      </w:r>
      <w:r w:rsidR="00FC3441" w:rsidRPr="002F187B">
        <w:t>to 2011)</w:t>
      </w:r>
      <w:r w:rsidR="00D77EB7">
        <w:t>;</w:t>
      </w:r>
    </w:p>
    <w:p w:rsidR="00065ABA" w:rsidRDefault="00065ABA" w:rsidP="00683881">
      <w:pPr>
        <w:pStyle w:val="BodyText"/>
        <w:numPr>
          <w:ilvl w:val="0"/>
          <w:numId w:val="2"/>
        </w:numPr>
        <w:tabs>
          <w:tab w:val="left" w:pos="840"/>
        </w:tabs>
        <w:kinsoku w:val="0"/>
        <w:overflowPunct w:val="0"/>
        <w:ind w:left="360" w:right="27"/>
        <w:jc w:val="both"/>
      </w:pPr>
      <w:r w:rsidRPr="002F187B">
        <w:lastRenderedPageBreak/>
        <w:t xml:space="preserve">The auditor shall, within </w:t>
      </w:r>
      <w:r w:rsidRPr="002F187B">
        <w:rPr>
          <w:bCs/>
        </w:rPr>
        <w:t>six months</w:t>
      </w:r>
      <w:r w:rsidR="002746D9">
        <w:rPr>
          <w:bCs/>
        </w:rPr>
        <w:t xml:space="preserve"> </w:t>
      </w:r>
      <w:r w:rsidRPr="002F187B">
        <w:t>of the date o</w:t>
      </w:r>
      <w:r w:rsidR="00455613" w:rsidRPr="002F187B">
        <w:t>f receipt of the annual report</w:t>
      </w:r>
      <w:r w:rsidRPr="002F187B">
        <w:t>, submit the annual report an</w:t>
      </w:r>
      <w:r w:rsidR="00D77EB7">
        <w:t>d his audit report to the Board;</w:t>
      </w:r>
    </w:p>
    <w:p w:rsidR="00683881" w:rsidRDefault="00683881" w:rsidP="00683881">
      <w:pPr>
        <w:pStyle w:val="BodyText"/>
        <w:tabs>
          <w:tab w:val="left" w:pos="840"/>
        </w:tabs>
        <w:kinsoku w:val="0"/>
        <w:overflowPunct w:val="0"/>
        <w:ind w:left="0" w:right="27"/>
        <w:jc w:val="both"/>
      </w:pPr>
    </w:p>
    <w:p w:rsidR="00065ABA" w:rsidRPr="002F187B" w:rsidRDefault="00065ABA" w:rsidP="00D809F4">
      <w:pPr>
        <w:pStyle w:val="BodyText"/>
        <w:numPr>
          <w:ilvl w:val="0"/>
          <w:numId w:val="2"/>
        </w:numPr>
        <w:tabs>
          <w:tab w:val="left" w:pos="840"/>
        </w:tabs>
        <w:kinsoku w:val="0"/>
        <w:overflowPunct w:val="0"/>
        <w:ind w:left="360" w:right="27"/>
        <w:jc w:val="both"/>
      </w:pPr>
      <w:r w:rsidRPr="002F187B">
        <w:t>Where, in the opinion of the Board, the Chief Executive Officer or any other officer of a statutory body has not properly performed his duties with the result that the above requirements of the Act cannot be complied with within the prescribed time, the Board may, after giving an opportunity for the officer to be heard, take appropriate discipli</w:t>
      </w:r>
      <w:r w:rsidR="00D77EB7">
        <w:t>nary action against the officer;</w:t>
      </w:r>
    </w:p>
    <w:p w:rsidR="00065ABA" w:rsidRPr="002F187B" w:rsidRDefault="00065ABA" w:rsidP="00D809F4">
      <w:pPr>
        <w:kinsoku w:val="0"/>
        <w:overflowPunct w:val="0"/>
        <w:spacing w:before="19" w:after="0" w:line="240" w:lineRule="auto"/>
        <w:ind w:left="360" w:right="27" w:hanging="360"/>
        <w:jc w:val="both"/>
        <w:rPr>
          <w:sz w:val="30"/>
          <w:szCs w:val="30"/>
        </w:rPr>
      </w:pPr>
    </w:p>
    <w:p w:rsidR="00065ABA" w:rsidRPr="002F187B" w:rsidRDefault="00065ABA" w:rsidP="00D809F4">
      <w:pPr>
        <w:pStyle w:val="BodyText"/>
        <w:numPr>
          <w:ilvl w:val="0"/>
          <w:numId w:val="2"/>
        </w:numPr>
        <w:tabs>
          <w:tab w:val="left" w:pos="840"/>
        </w:tabs>
        <w:kinsoku w:val="0"/>
        <w:overflowPunct w:val="0"/>
        <w:ind w:left="360" w:right="27"/>
        <w:jc w:val="both"/>
      </w:pPr>
      <w:r w:rsidRPr="002F187B">
        <w:t xml:space="preserve">On receipt of the annual report, including the audited financial statements and the audit report, the Board shall, not later than </w:t>
      </w:r>
      <w:r w:rsidRPr="002F187B">
        <w:rPr>
          <w:bCs/>
        </w:rPr>
        <w:t>one month</w:t>
      </w:r>
      <w:r w:rsidR="002746D9">
        <w:rPr>
          <w:bCs/>
        </w:rPr>
        <w:t xml:space="preserve"> </w:t>
      </w:r>
      <w:r w:rsidRPr="002F187B">
        <w:t>from the date of receipt, furnish to the Minister such reports and finan</w:t>
      </w:r>
      <w:r w:rsidR="00D77EB7">
        <w:t>cial statements;</w:t>
      </w:r>
    </w:p>
    <w:p w:rsidR="00065ABA" w:rsidRPr="002F187B" w:rsidRDefault="00065ABA" w:rsidP="00D809F4">
      <w:pPr>
        <w:kinsoku w:val="0"/>
        <w:overflowPunct w:val="0"/>
        <w:spacing w:before="16" w:after="0" w:line="240" w:lineRule="auto"/>
        <w:ind w:right="27"/>
        <w:jc w:val="both"/>
        <w:rPr>
          <w:sz w:val="26"/>
          <w:szCs w:val="26"/>
        </w:rPr>
      </w:pPr>
    </w:p>
    <w:p w:rsidR="00065ABA" w:rsidRPr="002F187B" w:rsidRDefault="00065ABA" w:rsidP="00D809F4">
      <w:pPr>
        <w:pStyle w:val="BodyText"/>
        <w:numPr>
          <w:ilvl w:val="0"/>
          <w:numId w:val="2"/>
        </w:numPr>
        <w:tabs>
          <w:tab w:val="left" w:pos="840"/>
        </w:tabs>
        <w:kinsoku w:val="0"/>
        <w:overflowPunct w:val="0"/>
        <w:ind w:left="360" w:right="27"/>
        <w:jc w:val="both"/>
      </w:pPr>
      <w:r w:rsidRPr="002F187B">
        <w:t>The Minister shall, at the earliest available opportunity, lay a copy of the report and audited accounts of every statutory body within his portfolio before the National Assembly.</w:t>
      </w:r>
    </w:p>
    <w:p w:rsidR="00065ABA" w:rsidRPr="002F187B" w:rsidRDefault="00065ABA" w:rsidP="00D809F4">
      <w:pPr>
        <w:kinsoku w:val="0"/>
        <w:overflowPunct w:val="0"/>
        <w:spacing w:before="16" w:after="0" w:line="240" w:lineRule="auto"/>
        <w:ind w:right="27"/>
        <w:jc w:val="both"/>
        <w:rPr>
          <w:sz w:val="26"/>
          <w:szCs w:val="26"/>
        </w:rPr>
      </w:pPr>
    </w:p>
    <w:p w:rsidR="00065ABA" w:rsidRPr="002F187B" w:rsidRDefault="00065ABA" w:rsidP="00D809F4">
      <w:pPr>
        <w:pStyle w:val="BodyText"/>
        <w:kinsoku w:val="0"/>
        <w:overflowPunct w:val="0"/>
        <w:ind w:left="0" w:right="27"/>
        <w:jc w:val="both"/>
      </w:pPr>
      <w:r w:rsidRPr="002F187B">
        <w:t xml:space="preserve">The Director of Audit is responsible for the audit of </w:t>
      </w:r>
      <w:r w:rsidR="00311AF9" w:rsidRPr="00311AF9">
        <w:t>109</w:t>
      </w:r>
      <w:r w:rsidRPr="002F187B">
        <w:t xml:space="preserve"> Statutory Bodies</w:t>
      </w:r>
      <w:bookmarkStart w:id="0" w:name="Appendix_IIIA"/>
      <w:r w:rsidR="002746D9">
        <w:t xml:space="preserve">. </w:t>
      </w:r>
      <w:hyperlink r:id="rId11" w:history="1">
        <w:r w:rsidRPr="00462716">
          <w:rPr>
            <w:rStyle w:val="Hyperlink"/>
          </w:rPr>
          <w:t>Append</w:t>
        </w:r>
        <w:r w:rsidRPr="00462716">
          <w:rPr>
            <w:rStyle w:val="Hyperlink"/>
          </w:rPr>
          <w:t>i</w:t>
        </w:r>
        <w:r w:rsidRPr="00462716">
          <w:rPr>
            <w:rStyle w:val="Hyperlink"/>
          </w:rPr>
          <w:t>x II</w:t>
        </w:r>
        <w:r w:rsidR="00E06A8A" w:rsidRPr="00462716">
          <w:rPr>
            <w:rStyle w:val="Hyperlink"/>
          </w:rPr>
          <w:t>I</w:t>
        </w:r>
        <w:r w:rsidRPr="00462716">
          <w:rPr>
            <w:rStyle w:val="Hyperlink"/>
          </w:rPr>
          <w:t>A</w:t>
        </w:r>
        <w:bookmarkStart w:id="1" w:name="APPIII"/>
        <w:bookmarkEnd w:id="1"/>
        <w:bookmarkEnd w:id="0"/>
      </w:hyperlink>
      <w:r w:rsidR="00311AF9">
        <w:t xml:space="preserve"> </w:t>
      </w:r>
      <w:r w:rsidRPr="002F187B">
        <w:t>refers.</w:t>
      </w:r>
    </w:p>
    <w:p w:rsidR="00065ABA" w:rsidRPr="002F187B" w:rsidRDefault="00065ABA" w:rsidP="00D809F4">
      <w:pPr>
        <w:kinsoku w:val="0"/>
        <w:overflowPunct w:val="0"/>
        <w:spacing w:before="18" w:after="0" w:line="240" w:lineRule="auto"/>
        <w:ind w:right="27"/>
        <w:jc w:val="both"/>
        <w:rPr>
          <w:sz w:val="26"/>
          <w:szCs w:val="26"/>
        </w:rPr>
      </w:pPr>
    </w:p>
    <w:p w:rsidR="00065ABA" w:rsidRPr="002F187B" w:rsidRDefault="0021496A" w:rsidP="00D809F4">
      <w:pPr>
        <w:pStyle w:val="BodyText"/>
        <w:kinsoku w:val="0"/>
        <w:overflowPunct w:val="0"/>
        <w:ind w:left="0" w:right="27"/>
        <w:jc w:val="both"/>
      </w:pPr>
      <w:r>
        <w:t>4</w:t>
      </w:r>
      <w:r w:rsidR="006C227E">
        <w:t>5</w:t>
      </w:r>
      <w:r w:rsidR="00065ABA" w:rsidRPr="002F187B">
        <w:t xml:space="preserve"> Statutory Bodies have not yet submitted a total of </w:t>
      </w:r>
      <w:r w:rsidR="002054E7">
        <w:t>109</w:t>
      </w:r>
      <w:r w:rsidR="00065ABA" w:rsidRPr="002F187B">
        <w:t xml:space="preserve"> financial statements</w:t>
      </w:r>
      <w:bookmarkStart w:id="2" w:name="Appendix_IIIB"/>
      <w:r w:rsidR="00065ABA" w:rsidRPr="002F187B">
        <w:t xml:space="preserve">. </w:t>
      </w:r>
      <w:hyperlink r:id="rId12" w:history="1">
        <w:r w:rsidR="00065ABA" w:rsidRPr="00462716">
          <w:rPr>
            <w:rStyle w:val="Hyperlink"/>
          </w:rPr>
          <w:t>A</w:t>
        </w:r>
        <w:r w:rsidR="00065ABA" w:rsidRPr="00462716">
          <w:rPr>
            <w:rStyle w:val="Hyperlink"/>
          </w:rPr>
          <w:t>p</w:t>
        </w:r>
        <w:r w:rsidR="00065ABA" w:rsidRPr="00462716">
          <w:rPr>
            <w:rStyle w:val="Hyperlink"/>
          </w:rPr>
          <w:t>p</w:t>
        </w:r>
        <w:r w:rsidR="00065ABA" w:rsidRPr="00462716">
          <w:rPr>
            <w:rStyle w:val="Hyperlink"/>
          </w:rPr>
          <w:t>e</w:t>
        </w:r>
        <w:r w:rsidR="00065ABA" w:rsidRPr="00462716">
          <w:rPr>
            <w:rStyle w:val="Hyperlink"/>
          </w:rPr>
          <w:t>ndix I</w:t>
        </w:r>
        <w:r w:rsidR="00E06A8A" w:rsidRPr="00462716">
          <w:rPr>
            <w:rStyle w:val="Hyperlink"/>
          </w:rPr>
          <w:t>I</w:t>
        </w:r>
        <w:r w:rsidR="00065ABA" w:rsidRPr="00462716">
          <w:rPr>
            <w:rStyle w:val="Hyperlink"/>
          </w:rPr>
          <w:t>IB</w:t>
        </w:r>
      </w:hyperlink>
      <w:r w:rsidR="00065ABA" w:rsidRPr="00462716">
        <w:t xml:space="preserve"> refers.</w:t>
      </w:r>
      <w:bookmarkEnd w:id="2"/>
    </w:p>
    <w:p w:rsidR="00065ABA" w:rsidRPr="002F187B" w:rsidRDefault="00065ABA" w:rsidP="00D809F4">
      <w:pPr>
        <w:kinsoku w:val="0"/>
        <w:overflowPunct w:val="0"/>
        <w:spacing w:before="13" w:after="0" w:line="240" w:lineRule="auto"/>
        <w:ind w:right="27"/>
        <w:jc w:val="both"/>
        <w:rPr>
          <w:sz w:val="26"/>
          <w:szCs w:val="26"/>
        </w:rPr>
      </w:pPr>
    </w:p>
    <w:p w:rsidR="00065ABA" w:rsidRPr="002F187B" w:rsidRDefault="000A66FC" w:rsidP="00D809F4">
      <w:pPr>
        <w:pStyle w:val="BodyText"/>
        <w:kinsoku w:val="0"/>
        <w:overflowPunct w:val="0"/>
        <w:ind w:left="0" w:right="27"/>
        <w:jc w:val="both"/>
      </w:pPr>
      <w:r>
        <w:t>23</w:t>
      </w:r>
      <w:r w:rsidR="002054E7">
        <w:t>6</w:t>
      </w:r>
      <w:r>
        <w:t xml:space="preserve"> </w:t>
      </w:r>
      <w:r w:rsidR="00065ABA" w:rsidRPr="002F187B">
        <w:t xml:space="preserve">financial statements in respect of </w:t>
      </w:r>
      <w:r w:rsidRPr="00311AF9">
        <w:t>66</w:t>
      </w:r>
      <w:r>
        <w:t xml:space="preserve"> </w:t>
      </w:r>
      <w:r w:rsidR="00065ABA" w:rsidRPr="002F187B">
        <w:t xml:space="preserve">Statutory Bodies have been certified but have not </w:t>
      </w:r>
      <w:r w:rsidR="00A36724" w:rsidRPr="002F187B">
        <w:t xml:space="preserve">yet </w:t>
      </w:r>
      <w:r w:rsidR="00065ABA" w:rsidRPr="002F187B">
        <w:t xml:space="preserve">been laid before the National Assembly. </w:t>
      </w:r>
      <w:bookmarkStart w:id="3" w:name="Appendix_IIIC"/>
      <w:r w:rsidR="00462716">
        <w:fldChar w:fldCharType="begin"/>
      </w:r>
      <w:r w:rsidR="00462716">
        <w:instrText xml:space="preserve"> HYPERLINK "29_Appendix_IIIC.docx" </w:instrText>
      </w:r>
      <w:r w:rsidR="00462716">
        <w:fldChar w:fldCharType="separate"/>
      </w:r>
      <w:r w:rsidR="00065ABA" w:rsidRPr="00462716">
        <w:rPr>
          <w:rStyle w:val="Hyperlink"/>
        </w:rPr>
        <w:t>Append</w:t>
      </w:r>
      <w:r w:rsidR="00065ABA" w:rsidRPr="00462716">
        <w:rPr>
          <w:rStyle w:val="Hyperlink"/>
        </w:rPr>
        <w:t>i</w:t>
      </w:r>
      <w:r w:rsidR="00065ABA" w:rsidRPr="00462716">
        <w:rPr>
          <w:rStyle w:val="Hyperlink"/>
        </w:rPr>
        <w:t>x</w:t>
      </w:r>
      <w:r w:rsidR="00065ABA" w:rsidRPr="00462716">
        <w:rPr>
          <w:rStyle w:val="Hyperlink"/>
        </w:rPr>
        <w:t xml:space="preserve"> </w:t>
      </w:r>
      <w:r w:rsidR="00065ABA" w:rsidRPr="00462716">
        <w:rPr>
          <w:rStyle w:val="Hyperlink"/>
        </w:rPr>
        <w:t>I</w:t>
      </w:r>
      <w:r w:rsidR="00E06A8A" w:rsidRPr="00462716">
        <w:rPr>
          <w:rStyle w:val="Hyperlink"/>
        </w:rPr>
        <w:t>I</w:t>
      </w:r>
      <w:r w:rsidR="00065ABA" w:rsidRPr="00462716">
        <w:rPr>
          <w:rStyle w:val="Hyperlink"/>
        </w:rPr>
        <w:t>IC</w:t>
      </w:r>
      <w:bookmarkEnd w:id="3"/>
      <w:r w:rsidR="00462716">
        <w:fldChar w:fldCharType="end"/>
      </w:r>
      <w:r w:rsidR="00065ABA" w:rsidRPr="002F187B">
        <w:t xml:space="preserve"> refers.</w:t>
      </w:r>
    </w:p>
    <w:p w:rsidR="00065ABA" w:rsidRPr="002F187B" w:rsidRDefault="00065ABA" w:rsidP="00D809F4">
      <w:pPr>
        <w:kinsoku w:val="0"/>
        <w:overflowPunct w:val="0"/>
        <w:spacing w:after="0" w:line="240" w:lineRule="auto"/>
        <w:ind w:right="27"/>
        <w:jc w:val="both"/>
      </w:pPr>
    </w:p>
    <w:p w:rsidR="00065ABA" w:rsidRPr="002F187B" w:rsidRDefault="00065ABA" w:rsidP="00D809F4">
      <w:pPr>
        <w:kinsoku w:val="0"/>
        <w:overflowPunct w:val="0"/>
        <w:spacing w:after="0" w:line="240" w:lineRule="auto"/>
        <w:ind w:right="27"/>
        <w:jc w:val="both"/>
      </w:pPr>
    </w:p>
    <w:p w:rsidR="00065ABA" w:rsidRPr="002F187B" w:rsidRDefault="00A24D19" w:rsidP="00D809F4">
      <w:pPr>
        <w:pStyle w:val="Heading6"/>
        <w:tabs>
          <w:tab w:val="left" w:pos="663"/>
        </w:tabs>
        <w:kinsoku w:val="0"/>
        <w:overflowPunct w:val="0"/>
        <w:ind w:left="0" w:right="27"/>
        <w:jc w:val="both"/>
      </w:pPr>
      <w:r>
        <w:t>2</w:t>
      </w:r>
      <w:r w:rsidR="00AB6753">
        <w:t>2</w:t>
      </w:r>
      <w:r w:rsidR="00065ABA" w:rsidRPr="002F187B">
        <w:t>.</w:t>
      </w:r>
      <w:r w:rsidR="00683881">
        <w:t>3</w:t>
      </w:r>
      <w:r w:rsidR="00C95057">
        <w:tab/>
      </w:r>
      <w:r w:rsidR="00065ABA" w:rsidRPr="002F187B">
        <w:t>Local Authorities</w:t>
      </w:r>
    </w:p>
    <w:p w:rsidR="00065ABA" w:rsidRPr="002F187B" w:rsidRDefault="00065ABA" w:rsidP="00D809F4">
      <w:pPr>
        <w:autoSpaceDE w:val="0"/>
        <w:autoSpaceDN w:val="0"/>
        <w:adjustRightInd w:val="0"/>
        <w:spacing w:after="0" w:line="240" w:lineRule="auto"/>
        <w:ind w:right="27"/>
        <w:jc w:val="both"/>
        <w:rPr>
          <w:rFonts w:ascii="Times New Roman" w:hAnsi="Times New Roman" w:cs="Times New Roman"/>
          <w:sz w:val="24"/>
          <w:szCs w:val="24"/>
        </w:rPr>
      </w:pPr>
    </w:p>
    <w:p w:rsidR="005B6268" w:rsidRPr="002F187B" w:rsidRDefault="005B6268" w:rsidP="00D809F4">
      <w:pPr>
        <w:autoSpaceDE w:val="0"/>
        <w:autoSpaceDN w:val="0"/>
        <w:adjustRightInd w:val="0"/>
        <w:spacing w:after="0" w:line="240" w:lineRule="auto"/>
        <w:ind w:right="27"/>
        <w:jc w:val="both"/>
        <w:rPr>
          <w:rFonts w:ascii="Times New Roman" w:hAnsi="Times New Roman" w:cs="Times New Roman"/>
          <w:sz w:val="24"/>
          <w:szCs w:val="24"/>
        </w:rPr>
      </w:pPr>
      <w:r w:rsidRPr="002F187B">
        <w:rPr>
          <w:rFonts w:ascii="Times New Roman" w:hAnsi="Times New Roman" w:cs="Times New Roman"/>
          <w:sz w:val="24"/>
          <w:szCs w:val="24"/>
        </w:rPr>
        <w:t>The Local Government Act (LGA) 2011</w:t>
      </w:r>
      <w:r w:rsidR="002054E7">
        <w:rPr>
          <w:rFonts w:ascii="Times New Roman" w:hAnsi="Times New Roman" w:cs="Times New Roman"/>
          <w:sz w:val="24"/>
          <w:szCs w:val="24"/>
        </w:rPr>
        <w:t xml:space="preserve"> </w:t>
      </w:r>
      <w:r w:rsidRPr="002F187B">
        <w:rPr>
          <w:rFonts w:ascii="Times New Roman" w:hAnsi="Times New Roman" w:cs="Times New Roman"/>
          <w:sz w:val="24"/>
          <w:szCs w:val="24"/>
        </w:rPr>
        <w:t xml:space="preserve">provides that the </w:t>
      </w:r>
      <w:r w:rsidR="00343555" w:rsidRPr="002F187B">
        <w:rPr>
          <w:rFonts w:ascii="Times New Roman" w:hAnsi="Times New Roman" w:cs="Times New Roman"/>
          <w:sz w:val="24"/>
          <w:szCs w:val="24"/>
        </w:rPr>
        <w:t xml:space="preserve">Chief Executive of every local authority, other than a Village Council, shall, within three months after the end of the financial year submit financial statements to the Council. The LGA 2011 also provides that the </w:t>
      </w:r>
      <w:r w:rsidRPr="002F187B">
        <w:rPr>
          <w:rFonts w:ascii="Times New Roman" w:hAnsi="Times New Roman" w:cs="Times New Roman"/>
          <w:sz w:val="24"/>
          <w:szCs w:val="24"/>
        </w:rPr>
        <w:t xml:space="preserve">approved annual financial statements shall be audited by the Director of Audit and that </w:t>
      </w:r>
    </w:p>
    <w:p w:rsidR="005B6268" w:rsidRPr="002F187B" w:rsidRDefault="005B6268" w:rsidP="00D809F4">
      <w:pPr>
        <w:autoSpaceDE w:val="0"/>
        <w:autoSpaceDN w:val="0"/>
        <w:adjustRightInd w:val="0"/>
        <w:spacing w:after="0" w:line="240" w:lineRule="auto"/>
        <w:ind w:right="27"/>
        <w:jc w:val="both"/>
        <w:rPr>
          <w:rFonts w:ascii="Times New Roman" w:hAnsi="Times New Roman" w:cs="Times New Roman"/>
          <w:sz w:val="24"/>
          <w:szCs w:val="24"/>
        </w:rPr>
      </w:pPr>
    </w:p>
    <w:p w:rsidR="005B6268" w:rsidRPr="002F187B" w:rsidRDefault="00343555" w:rsidP="00D809F4">
      <w:pPr>
        <w:numPr>
          <w:ilvl w:val="0"/>
          <w:numId w:val="4"/>
        </w:numPr>
        <w:autoSpaceDE w:val="0"/>
        <w:autoSpaceDN w:val="0"/>
        <w:adjustRightInd w:val="0"/>
        <w:spacing w:after="0" w:line="240" w:lineRule="auto"/>
        <w:ind w:left="360" w:right="27"/>
        <w:jc w:val="both"/>
        <w:rPr>
          <w:rFonts w:ascii="Times New Roman" w:hAnsi="Times New Roman" w:cs="Times New Roman"/>
          <w:sz w:val="24"/>
          <w:szCs w:val="24"/>
        </w:rPr>
      </w:pPr>
      <w:r w:rsidRPr="002F187B">
        <w:rPr>
          <w:rFonts w:ascii="Times New Roman" w:hAnsi="Times New Roman" w:cs="Times New Roman"/>
          <w:sz w:val="24"/>
          <w:szCs w:val="24"/>
        </w:rPr>
        <w:t>they</w:t>
      </w:r>
      <w:r w:rsidR="005B6268" w:rsidRPr="002F187B">
        <w:rPr>
          <w:rFonts w:ascii="Times New Roman" w:hAnsi="Times New Roman" w:cs="Times New Roman"/>
          <w:sz w:val="24"/>
          <w:szCs w:val="24"/>
        </w:rPr>
        <w:t xml:space="preserve"> shall </w:t>
      </w:r>
      <w:r w:rsidRPr="002F187B">
        <w:rPr>
          <w:rFonts w:ascii="Times New Roman" w:hAnsi="Times New Roman" w:cs="Times New Roman"/>
          <w:sz w:val="24"/>
          <w:szCs w:val="24"/>
        </w:rPr>
        <w:t xml:space="preserve">be </w:t>
      </w:r>
      <w:r w:rsidR="005B6268" w:rsidRPr="002F187B">
        <w:rPr>
          <w:rFonts w:ascii="Times New Roman" w:hAnsi="Times New Roman" w:cs="Times New Roman"/>
          <w:sz w:val="24"/>
          <w:szCs w:val="24"/>
        </w:rPr>
        <w:t>submit</w:t>
      </w:r>
      <w:r w:rsidRPr="002F187B">
        <w:rPr>
          <w:rFonts w:ascii="Times New Roman" w:hAnsi="Times New Roman" w:cs="Times New Roman"/>
          <w:sz w:val="24"/>
          <w:szCs w:val="24"/>
        </w:rPr>
        <w:t>ted for audit</w:t>
      </w:r>
      <w:r w:rsidR="002746D9">
        <w:rPr>
          <w:rFonts w:ascii="Times New Roman" w:hAnsi="Times New Roman" w:cs="Times New Roman"/>
          <w:sz w:val="24"/>
          <w:szCs w:val="24"/>
        </w:rPr>
        <w:t xml:space="preserve"> </w:t>
      </w:r>
      <w:r w:rsidR="005B6268" w:rsidRPr="002F187B">
        <w:rPr>
          <w:rFonts w:ascii="Times New Roman" w:hAnsi="Times New Roman" w:cs="Times New Roman"/>
          <w:sz w:val="24"/>
          <w:szCs w:val="24"/>
        </w:rPr>
        <w:t xml:space="preserve">within four months of the end of every financial year; </w:t>
      </w:r>
    </w:p>
    <w:p w:rsidR="005B6268" w:rsidRPr="002F187B" w:rsidRDefault="005B6268" w:rsidP="00D809F4">
      <w:pPr>
        <w:autoSpaceDE w:val="0"/>
        <w:autoSpaceDN w:val="0"/>
        <w:adjustRightInd w:val="0"/>
        <w:spacing w:after="0" w:line="240" w:lineRule="auto"/>
        <w:ind w:left="360" w:right="27"/>
        <w:jc w:val="both"/>
        <w:rPr>
          <w:rFonts w:ascii="Times New Roman" w:hAnsi="Times New Roman" w:cs="Times New Roman"/>
          <w:sz w:val="24"/>
          <w:szCs w:val="24"/>
        </w:rPr>
      </w:pPr>
    </w:p>
    <w:p w:rsidR="005B6268" w:rsidRPr="002F187B" w:rsidRDefault="005B6268" w:rsidP="00D809F4">
      <w:pPr>
        <w:numPr>
          <w:ilvl w:val="0"/>
          <w:numId w:val="4"/>
        </w:numPr>
        <w:autoSpaceDE w:val="0"/>
        <w:autoSpaceDN w:val="0"/>
        <w:adjustRightInd w:val="0"/>
        <w:spacing w:after="0" w:line="240" w:lineRule="auto"/>
        <w:ind w:left="360" w:right="27"/>
        <w:jc w:val="both"/>
        <w:rPr>
          <w:rFonts w:ascii="Times New Roman" w:hAnsi="Times New Roman" w:cs="Times New Roman"/>
          <w:sz w:val="24"/>
          <w:szCs w:val="24"/>
        </w:rPr>
      </w:pPr>
      <w:r w:rsidRPr="002F187B">
        <w:rPr>
          <w:rFonts w:ascii="Times New Roman" w:hAnsi="Times New Roman" w:cs="Times New Roman"/>
          <w:sz w:val="24"/>
          <w:szCs w:val="24"/>
        </w:rPr>
        <w:t xml:space="preserve">the </w:t>
      </w:r>
      <w:r w:rsidRPr="00B14DAE">
        <w:rPr>
          <w:rFonts w:ascii="Times New Roman" w:hAnsi="Times New Roman" w:cs="Times New Roman"/>
          <w:sz w:val="24"/>
          <w:szCs w:val="24"/>
        </w:rPr>
        <w:t xml:space="preserve">Director of Audit shall address to </w:t>
      </w:r>
      <w:r w:rsidR="00B14DAE" w:rsidRPr="00B14DAE">
        <w:rPr>
          <w:rFonts w:ascii="Times New Roman" w:hAnsi="Times New Roman" w:cs="Times New Roman"/>
          <w:sz w:val="24"/>
          <w:szCs w:val="24"/>
        </w:rPr>
        <w:t xml:space="preserve">the Minister to </w:t>
      </w:r>
      <w:r w:rsidR="00B77826" w:rsidRPr="00B14DAE">
        <w:rPr>
          <w:rFonts w:ascii="Times New Roman" w:hAnsi="Times New Roman" w:cs="Times New Roman"/>
          <w:sz w:val="24"/>
          <w:szCs w:val="24"/>
        </w:rPr>
        <w:t>whom responsibility for the</w:t>
      </w:r>
      <w:r w:rsidR="002746D9">
        <w:rPr>
          <w:rFonts w:ascii="Times New Roman" w:hAnsi="Times New Roman" w:cs="Times New Roman"/>
          <w:sz w:val="24"/>
          <w:szCs w:val="24"/>
        </w:rPr>
        <w:t xml:space="preserve"> </w:t>
      </w:r>
      <w:r w:rsidR="00B14DAE" w:rsidRPr="00B14DAE">
        <w:rPr>
          <w:rFonts w:ascii="Times New Roman" w:hAnsi="Times New Roman" w:cs="Times New Roman"/>
          <w:sz w:val="24"/>
          <w:szCs w:val="24"/>
        </w:rPr>
        <w:t xml:space="preserve">subject of local government is assigned and to the </w:t>
      </w:r>
      <w:r w:rsidRPr="00B14DAE">
        <w:rPr>
          <w:rFonts w:ascii="Times New Roman" w:hAnsi="Times New Roman" w:cs="Times New Roman"/>
          <w:sz w:val="24"/>
          <w:szCs w:val="24"/>
        </w:rPr>
        <w:t>Local Authority concerned, a copy of the certified financial statements and his report</w:t>
      </w:r>
      <w:r w:rsidR="00B14DAE">
        <w:rPr>
          <w:rFonts w:ascii="Times New Roman" w:hAnsi="Times New Roman" w:cs="Times New Roman"/>
          <w:sz w:val="24"/>
          <w:szCs w:val="24"/>
        </w:rPr>
        <w:t>.</w:t>
      </w:r>
    </w:p>
    <w:p w:rsidR="005B6268" w:rsidRPr="002F187B" w:rsidRDefault="005B6268" w:rsidP="00D809F4">
      <w:pPr>
        <w:autoSpaceDE w:val="0"/>
        <w:autoSpaceDN w:val="0"/>
        <w:adjustRightInd w:val="0"/>
        <w:spacing w:after="0" w:line="240" w:lineRule="auto"/>
        <w:ind w:left="-120" w:right="27"/>
        <w:jc w:val="both"/>
        <w:rPr>
          <w:rFonts w:ascii="Times New Roman" w:hAnsi="Times New Roman" w:cs="Times New Roman"/>
          <w:sz w:val="24"/>
          <w:szCs w:val="24"/>
        </w:rPr>
      </w:pPr>
    </w:p>
    <w:p w:rsidR="0099355B" w:rsidRDefault="005B6268" w:rsidP="00D809F4">
      <w:pPr>
        <w:numPr>
          <w:ilvl w:val="0"/>
          <w:numId w:val="4"/>
        </w:numPr>
        <w:autoSpaceDE w:val="0"/>
        <w:autoSpaceDN w:val="0"/>
        <w:adjustRightInd w:val="0"/>
        <w:spacing w:after="0" w:line="240" w:lineRule="auto"/>
        <w:ind w:left="360" w:right="27"/>
        <w:jc w:val="both"/>
        <w:rPr>
          <w:rFonts w:ascii="Times New Roman" w:hAnsi="Times New Roman" w:cs="Times New Roman"/>
          <w:sz w:val="24"/>
          <w:szCs w:val="24"/>
        </w:rPr>
      </w:pPr>
      <w:proofErr w:type="gramStart"/>
      <w:r w:rsidRPr="002F187B">
        <w:rPr>
          <w:rFonts w:ascii="Times New Roman" w:hAnsi="Times New Roman" w:cs="Times New Roman"/>
          <w:sz w:val="24"/>
          <w:szCs w:val="24"/>
        </w:rPr>
        <w:t>the</w:t>
      </w:r>
      <w:proofErr w:type="gramEnd"/>
      <w:r w:rsidRPr="002F187B">
        <w:rPr>
          <w:rFonts w:ascii="Times New Roman" w:hAnsi="Times New Roman" w:cs="Times New Roman"/>
          <w:sz w:val="24"/>
          <w:szCs w:val="24"/>
        </w:rPr>
        <w:t xml:space="preserve"> Chief Executive shall cause the certified financial statements and the report of the Director of Audit to be published in the Gazette within 14 days of their receipt by the Local Authority.</w:t>
      </w:r>
      <w:r w:rsidR="00547B3E">
        <w:rPr>
          <w:rFonts w:ascii="Times New Roman" w:hAnsi="Times New Roman" w:cs="Times New Roman"/>
          <w:sz w:val="24"/>
          <w:szCs w:val="24"/>
        </w:rPr>
        <w:t xml:space="preserve"> </w:t>
      </w:r>
      <w:r w:rsidR="00E05FA8">
        <w:rPr>
          <w:rFonts w:ascii="Times New Roman" w:hAnsi="Times New Roman" w:cs="Times New Roman"/>
          <w:sz w:val="24"/>
          <w:szCs w:val="24"/>
        </w:rPr>
        <w:t>As of 23 February 2018 t</w:t>
      </w:r>
      <w:r w:rsidR="00823650">
        <w:rPr>
          <w:rFonts w:ascii="Times New Roman" w:hAnsi="Times New Roman" w:cs="Times New Roman"/>
          <w:sz w:val="24"/>
          <w:szCs w:val="24"/>
        </w:rPr>
        <w:t>wo</w:t>
      </w:r>
      <w:r w:rsidR="00547B3E">
        <w:rPr>
          <w:rFonts w:ascii="Times New Roman" w:hAnsi="Times New Roman" w:cs="Times New Roman"/>
          <w:sz w:val="24"/>
          <w:szCs w:val="24"/>
        </w:rPr>
        <w:t xml:space="preserve"> financial statements in respect of two </w:t>
      </w:r>
      <w:r w:rsidR="00CF27B5">
        <w:rPr>
          <w:rFonts w:ascii="Times New Roman" w:hAnsi="Times New Roman" w:cs="Times New Roman"/>
          <w:sz w:val="24"/>
          <w:szCs w:val="24"/>
        </w:rPr>
        <w:t>Local Authorities</w:t>
      </w:r>
      <w:r w:rsidR="00547B3E">
        <w:rPr>
          <w:rFonts w:ascii="Times New Roman" w:hAnsi="Times New Roman" w:cs="Times New Roman"/>
          <w:sz w:val="24"/>
          <w:szCs w:val="24"/>
        </w:rPr>
        <w:t xml:space="preserve"> ha</w:t>
      </w:r>
      <w:r w:rsidR="00DD235D">
        <w:rPr>
          <w:rFonts w:ascii="Times New Roman" w:hAnsi="Times New Roman" w:cs="Times New Roman"/>
          <w:sz w:val="24"/>
          <w:szCs w:val="24"/>
        </w:rPr>
        <w:t>ve</w:t>
      </w:r>
      <w:r w:rsidR="00547B3E">
        <w:rPr>
          <w:rFonts w:ascii="Times New Roman" w:hAnsi="Times New Roman" w:cs="Times New Roman"/>
          <w:sz w:val="24"/>
          <w:szCs w:val="24"/>
        </w:rPr>
        <w:t xml:space="preserve"> not yet been published in the ga</w:t>
      </w:r>
      <w:r w:rsidR="00E05FA8">
        <w:rPr>
          <w:rFonts w:ascii="Times New Roman" w:hAnsi="Times New Roman" w:cs="Times New Roman"/>
          <w:sz w:val="24"/>
          <w:szCs w:val="24"/>
        </w:rPr>
        <w:t xml:space="preserve">zette. </w:t>
      </w:r>
      <w:r w:rsidR="0099355B">
        <w:rPr>
          <w:rFonts w:ascii="Times New Roman" w:hAnsi="Times New Roman" w:cs="Times New Roman"/>
          <w:sz w:val="24"/>
          <w:szCs w:val="24"/>
        </w:rPr>
        <w:t>Table 22-1 refers</w:t>
      </w:r>
    </w:p>
    <w:p w:rsidR="0099355B" w:rsidRDefault="0099355B">
      <w:pPr>
        <w:rPr>
          <w:rFonts w:ascii="Times New Roman" w:hAnsi="Times New Roman" w:cs="Times New Roman"/>
          <w:sz w:val="24"/>
          <w:szCs w:val="24"/>
        </w:rPr>
      </w:pPr>
      <w:r>
        <w:rPr>
          <w:rFonts w:ascii="Times New Roman" w:hAnsi="Times New Roman" w:cs="Times New Roman"/>
          <w:sz w:val="24"/>
          <w:szCs w:val="24"/>
        </w:rPr>
        <w:br w:type="page"/>
      </w:r>
    </w:p>
    <w:p w:rsidR="0099355B" w:rsidRDefault="0099355B" w:rsidP="0099355B">
      <w:pPr>
        <w:spacing w:after="0" w:line="240" w:lineRule="auto"/>
        <w:jc w:val="center"/>
        <w:rPr>
          <w:rFonts w:ascii="Times New Roman" w:eastAsia="Times New Roman" w:hAnsi="Times New Roman" w:cs="Times New Roman"/>
          <w:bCs/>
          <w:i/>
          <w:color w:val="000000"/>
          <w:sz w:val="24"/>
          <w:szCs w:val="24"/>
        </w:rPr>
      </w:pPr>
      <w:r w:rsidRPr="0099355B">
        <w:rPr>
          <w:rFonts w:ascii="Times New Roman" w:eastAsia="Times New Roman" w:hAnsi="Times New Roman" w:cs="Times New Roman"/>
          <w:bCs/>
          <w:i/>
          <w:color w:val="000000"/>
          <w:sz w:val="24"/>
          <w:szCs w:val="24"/>
        </w:rPr>
        <w:lastRenderedPageBreak/>
        <w:t>Table 22-</w:t>
      </w:r>
      <w:proofErr w:type="gramStart"/>
      <w:r w:rsidRPr="0099355B">
        <w:rPr>
          <w:rFonts w:ascii="Times New Roman" w:eastAsia="Times New Roman" w:hAnsi="Times New Roman" w:cs="Times New Roman"/>
          <w:bCs/>
          <w:i/>
          <w:color w:val="000000"/>
          <w:sz w:val="24"/>
          <w:szCs w:val="24"/>
        </w:rPr>
        <w:t>1  Local</w:t>
      </w:r>
      <w:proofErr w:type="gramEnd"/>
      <w:r w:rsidRPr="0099355B">
        <w:rPr>
          <w:rFonts w:ascii="Times New Roman" w:eastAsia="Times New Roman" w:hAnsi="Times New Roman" w:cs="Times New Roman"/>
          <w:bCs/>
          <w:i/>
          <w:color w:val="000000"/>
          <w:sz w:val="24"/>
          <w:szCs w:val="24"/>
        </w:rPr>
        <w:t xml:space="preserve"> Authorities</w:t>
      </w:r>
      <w:r w:rsidR="00F10EB0">
        <w:rPr>
          <w:rFonts w:ascii="Times New Roman" w:eastAsia="Times New Roman" w:hAnsi="Times New Roman" w:cs="Times New Roman"/>
          <w:bCs/>
          <w:i/>
          <w:color w:val="000000"/>
          <w:sz w:val="24"/>
          <w:szCs w:val="24"/>
        </w:rPr>
        <w:t xml:space="preserve"> </w:t>
      </w:r>
      <w:r w:rsidRPr="0099355B">
        <w:rPr>
          <w:rFonts w:ascii="Times New Roman" w:eastAsia="Times New Roman" w:hAnsi="Times New Roman" w:cs="Times New Roman"/>
          <w:bCs/>
          <w:i/>
          <w:color w:val="000000"/>
          <w:sz w:val="24"/>
          <w:szCs w:val="24"/>
        </w:rPr>
        <w:t>- Financial Statements Certified but not yet Gazetted</w:t>
      </w:r>
    </w:p>
    <w:p w:rsidR="0099355B" w:rsidRDefault="0099355B" w:rsidP="0099355B">
      <w:pPr>
        <w:spacing w:after="0" w:line="240" w:lineRule="auto"/>
        <w:jc w:val="center"/>
        <w:rPr>
          <w:rFonts w:ascii="Times New Roman" w:eastAsia="Times New Roman" w:hAnsi="Times New Roman" w:cs="Times New Roman"/>
          <w:bCs/>
          <w:i/>
          <w:color w:val="000000"/>
          <w:sz w:val="24"/>
          <w:szCs w:val="24"/>
        </w:rPr>
      </w:pPr>
      <w:bookmarkStart w:id="4" w:name="tab22_1"/>
      <w:bookmarkEnd w:id="4"/>
    </w:p>
    <w:p w:rsidR="0099355B" w:rsidRPr="0099355B" w:rsidRDefault="0099355B" w:rsidP="0099355B">
      <w:pPr>
        <w:pBdr>
          <w:top w:val="single" w:sz="4" w:space="1" w:color="auto"/>
        </w:pBdr>
        <w:spacing w:after="0" w:line="240" w:lineRule="auto"/>
        <w:jc w:val="center"/>
        <w:rPr>
          <w:rFonts w:ascii="Times New Roman" w:eastAsia="Times New Roman" w:hAnsi="Times New Roman" w:cs="Times New Roman"/>
          <w:bCs/>
          <w:i/>
          <w:color w:val="000000"/>
          <w:sz w:val="24"/>
          <w:szCs w:val="24"/>
        </w:rPr>
      </w:pPr>
    </w:p>
    <w:tbl>
      <w:tblPr>
        <w:tblW w:w="8288" w:type="dxa"/>
        <w:jc w:val="center"/>
        <w:tblLayout w:type="fixed"/>
        <w:tblLook w:val="04A0" w:firstRow="1" w:lastRow="0" w:firstColumn="1" w:lastColumn="0" w:noHBand="0" w:noVBand="1"/>
      </w:tblPr>
      <w:tblGrid>
        <w:gridCol w:w="484"/>
        <w:gridCol w:w="2729"/>
        <w:gridCol w:w="1560"/>
        <w:gridCol w:w="2209"/>
        <w:gridCol w:w="1306"/>
      </w:tblGrid>
      <w:tr w:rsidR="0099355B" w:rsidRPr="00EB40B6" w:rsidTr="00AA549B">
        <w:trPr>
          <w:trHeight w:val="20"/>
          <w:jc w:val="center"/>
        </w:trPr>
        <w:tc>
          <w:tcPr>
            <w:tcW w:w="3213" w:type="dxa"/>
            <w:gridSpan w:val="2"/>
            <w:shd w:val="clear" w:color="auto" w:fill="auto"/>
            <w:noWrap/>
            <w:tcMar>
              <w:bottom w:w="142" w:type="dxa"/>
            </w:tcMar>
            <w:hideMark/>
          </w:tcPr>
          <w:p w:rsidR="0099355B" w:rsidRPr="0099355B" w:rsidRDefault="00411236" w:rsidP="0099355B">
            <w:pPr>
              <w:spacing w:after="0" w:line="240" w:lineRule="auto"/>
              <w:ind w:right="-10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Local Authorities</w:t>
            </w:r>
          </w:p>
        </w:tc>
        <w:tc>
          <w:tcPr>
            <w:tcW w:w="1560" w:type="dxa"/>
            <w:shd w:val="clear" w:color="auto" w:fill="auto"/>
            <w:tcMar>
              <w:bottom w:w="142" w:type="dxa"/>
            </w:tcMar>
            <w:hideMark/>
          </w:tcPr>
          <w:p w:rsidR="0099355B" w:rsidRPr="0099355B" w:rsidRDefault="0099355B" w:rsidP="00BA6EB6">
            <w:pPr>
              <w:spacing w:after="80" w:line="240" w:lineRule="auto"/>
              <w:ind w:right="-108"/>
              <w:jc w:val="center"/>
              <w:rPr>
                <w:rFonts w:ascii="Times New Roman" w:eastAsia="Times New Roman" w:hAnsi="Times New Roman" w:cs="Times New Roman"/>
                <w:b/>
                <w:bCs/>
                <w:color w:val="000000"/>
                <w:sz w:val="24"/>
                <w:szCs w:val="24"/>
              </w:rPr>
            </w:pPr>
            <w:r w:rsidRPr="0099355B">
              <w:rPr>
                <w:rFonts w:ascii="Times New Roman" w:eastAsia="Times New Roman" w:hAnsi="Times New Roman" w:cs="Times New Roman"/>
                <w:b/>
                <w:bCs/>
                <w:color w:val="000000"/>
                <w:sz w:val="24"/>
                <w:szCs w:val="24"/>
              </w:rPr>
              <w:t>No of Financial Statements</w:t>
            </w:r>
          </w:p>
        </w:tc>
        <w:tc>
          <w:tcPr>
            <w:tcW w:w="2209" w:type="dxa"/>
            <w:shd w:val="clear" w:color="auto" w:fill="auto"/>
            <w:tcMar>
              <w:bottom w:w="142" w:type="dxa"/>
            </w:tcMar>
            <w:hideMark/>
          </w:tcPr>
          <w:p w:rsidR="0099355B" w:rsidRPr="0099355B" w:rsidRDefault="0099355B" w:rsidP="00BA6EB6">
            <w:pPr>
              <w:spacing w:after="0" w:line="240" w:lineRule="auto"/>
              <w:ind w:right="-108"/>
              <w:jc w:val="center"/>
              <w:rPr>
                <w:rFonts w:ascii="Times New Roman" w:eastAsia="Times New Roman" w:hAnsi="Times New Roman" w:cs="Times New Roman"/>
                <w:b/>
                <w:bCs/>
                <w:color w:val="000000"/>
                <w:sz w:val="24"/>
                <w:szCs w:val="24"/>
              </w:rPr>
            </w:pPr>
            <w:r w:rsidRPr="0099355B">
              <w:rPr>
                <w:rFonts w:ascii="Times New Roman" w:eastAsia="Times New Roman" w:hAnsi="Times New Roman" w:cs="Times New Roman"/>
                <w:b/>
                <w:bCs/>
                <w:color w:val="000000"/>
                <w:sz w:val="24"/>
                <w:szCs w:val="24"/>
              </w:rPr>
              <w:t>Period</w:t>
            </w:r>
          </w:p>
        </w:tc>
        <w:tc>
          <w:tcPr>
            <w:tcW w:w="1306" w:type="dxa"/>
            <w:shd w:val="clear" w:color="auto" w:fill="auto"/>
            <w:tcMar>
              <w:bottom w:w="142" w:type="dxa"/>
            </w:tcMar>
            <w:hideMark/>
          </w:tcPr>
          <w:p w:rsidR="0099355B" w:rsidRPr="0099355B" w:rsidRDefault="0099355B" w:rsidP="00BA6EB6">
            <w:pPr>
              <w:spacing w:after="0" w:line="240" w:lineRule="auto"/>
              <w:ind w:right="-108"/>
              <w:jc w:val="center"/>
              <w:rPr>
                <w:rFonts w:ascii="Times New Roman" w:eastAsia="Times New Roman" w:hAnsi="Times New Roman" w:cs="Times New Roman"/>
                <w:b/>
                <w:bCs/>
                <w:color w:val="000000"/>
                <w:sz w:val="24"/>
                <w:szCs w:val="24"/>
              </w:rPr>
            </w:pPr>
            <w:r w:rsidRPr="0099355B">
              <w:rPr>
                <w:rFonts w:ascii="Times New Roman" w:eastAsia="Times New Roman" w:hAnsi="Times New Roman" w:cs="Times New Roman"/>
                <w:b/>
                <w:bCs/>
                <w:color w:val="000000"/>
                <w:sz w:val="24"/>
                <w:szCs w:val="24"/>
              </w:rPr>
              <w:t>Date Certified</w:t>
            </w:r>
          </w:p>
        </w:tc>
      </w:tr>
      <w:tr w:rsidR="00AA549B" w:rsidRPr="003A1E9B" w:rsidTr="00AA549B">
        <w:trPr>
          <w:trHeight w:val="20"/>
          <w:jc w:val="center"/>
        </w:trPr>
        <w:tc>
          <w:tcPr>
            <w:tcW w:w="484" w:type="dxa"/>
            <w:shd w:val="clear" w:color="auto" w:fill="auto"/>
            <w:noWrap/>
            <w:tcMar>
              <w:bottom w:w="142" w:type="dxa"/>
            </w:tcMar>
            <w:hideMark/>
          </w:tcPr>
          <w:p w:rsidR="00AA549B" w:rsidRPr="0099355B" w:rsidRDefault="00AA549B" w:rsidP="00AA549B">
            <w:pPr>
              <w:spacing w:after="0"/>
              <w:jc w:val="right"/>
              <w:rPr>
                <w:rFonts w:ascii="Times New Roman" w:hAnsi="Times New Roman" w:cs="Times New Roman"/>
                <w:color w:val="000000"/>
                <w:sz w:val="24"/>
                <w:szCs w:val="24"/>
              </w:rPr>
            </w:pPr>
            <w:r w:rsidRPr="0099355B">
              <w:rPr>
                <w:rFonts w:ascii="Times New Roman" w:hAnsi="Times New Roman" w:cs="Times New Roman"/>
                <w:color w:val="000000"/>
                <w:sz w:val="24"/>
                <w:szCs w:val="24"/>
              </w:rPr>
              <w:t>1</w:t>
            </w:r>
          </w:p>
        </w:tc>
        <w:tc>
          <w:tcPr>
            <w:tcW w:w="2729" w:type="dxa"/>
            <w:shd w:val="clear" w:color="auto" w:fill="auto"/>
            <w:tcMar>
              <w:bottom w:w="142" w:type="dxa"/>
            </w:tcMar>
            <w:hideMark/>
          </w:tcPr>
          <w:p w:rsidR="00AA549B" w:rsidRPr="0099355B" w:rsidRDefault="00AA549B" w:rsidP="00AA5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99355B">
              <w:rPr>
                <w:rFonts w:ascii="Times New Roman" w:hAnsi="Times New Roman" w:cs="Times New Roman"/>
                <w:sz w:val="24"/>
                <w:szCs w:val="24"/>
              </w:rPr>
              <w:t>Grand Port Savanne District Council</w:t>
            </w:r>
          </w:p>
        </w:tc>
        <w:tc>
          <w:tcPr>
            <w:tcW w:w="1560" w:type="dxa"/>
            <w:shd w:val="clear" w:color="auto" w:fill="auto"/>
            <w:tcMar>
              <w:bottom w:w="142" w:type="dxa"/>
            </w:tcMar>
            <w:hideMark/>
          </w:tcPr>
          <w:p w:rsidR="00AA549B" w:rsidRPr="0099355B" w:rsidRDefault="00AA549B" w:rsidP="00AA549B">
            <w:pPr>
              <w:spacing w:after="0" w:line="240" w:lineRule="auto"/>
              <w:ind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2209" w:type="dxa"/>
            <w:shd w:val="clear" w:color="auto" w:fill="auto"/>
            <w:tcMar>
              <w:bottom w:w="0" w:type="dxa"/>
            </w:tcMar>
            <w:hideMark/>
          </w:tcPr>
          <w:p w:rsidR="00AA549B" w:rsidRPr="0099355B" w:rsidRDefault="00AA549B" w:rsidP="00AA549B">
            <w:pPr>
              <w:spacing w:after="0"/>
              <w:jc w:val="center"/>
              <w:rPr>
                <w:rFonts w:ascii="Times New Roman" w:hAnsi="Times New Roman" w:cs="Times New Roman"/>
                <w:color w:val="000000"/>
                <w:sz w:val="24"/>
                <w:szCs w:val="24"/>
              </w:rPr>
            </w:pPr>
            <w:r w:rsidRPr="0099355B">
              <w:rPr>
                <w:rFonts w:ascii="Times New Roman" w:hAnsi="Times New Roman" w:cs="Times New Roman"/>
                <w:color w:val="000000"/>
                <w:sz w:val="24"/>
                <w:szCs w:val="24"/>
              </w:rPr>
              <w:t>2011</w:t>
            </w:r>
          </w:p>
        </w:tc>
        <w:tc>
          <w:tcPr>
            <w:tcW w:w="1306" w:type="dxa"/>
            <w:shd w:val="clear" w:color="auto" w:fill="auto"/>
            <w:tcMar>
              <w:bottom w:w="0" w:type="dxa"/>
            </w:tcMar>
            <w:hideMark/>
          </w:tcPr>
          <w:p w:rsidR="00AA549B" w:rsidRPr="0099355B" w:rsidRDefault="00AA549B" w:rsidP="00AA549B">
            <w:pPr>
              <w:spacing w:after="0"/>
              <w:jc w:val="center"/>
              <w:rPr>
                <w:rFonts w:ascii="Times New Roman" w:hAnsi="Times New Roman" w:cs="Times New Roman"/>
                <w:color w:val="000000"/>
                <w:sz w:val="24"/>
                <w:szCs w:val="24"/>
              </w:rPr>
            </w:pPr>
            <w:r w:rsidRPr="0099355B">
              <w:rPr>
                <w:rFonts w:ascii="Times New Roman" w:hAnsi="Times New Roman" w:cs="Times New Roman"/>
                <w:color w:val="000000"/>
                <w:sz w:val="24"/>
                <w:szCs w:val="24"/>
              </w:rPr>
              <w:t>06.07.2015</w:t>
            </w:r>
          </w:p>
        </w:tc>
      </w:tr>
      <w:tr w:rsidR="0099355B" w:rsidRPr="003A1E9B" w:rsidTr="00AA549B">
        <w:trPr>
          <w:trHeight w:val="738"/>
          <w:jc w:val="center"/>
        </w:trPr>
        <w:tc>
          <w:tcPr>
            <w:tcW w:w="484" w:type="dxa"/>
            <w:shd w:val="clear" w:color="auto" w:fill="auto"/>
            <w:noWrap/>
            <w:tcMar>
              <w:bottom w:w="142" w:type="dxa"/>
            </w:tcMar>
            <w:hideMark/>
          </w:tcPr>
          <w:p w:rsidR="0099355B" w:rsidRPr="0099355B" w:rsidRDefault="0099355B" w:rsidP="003D3D8C">
            <w:pPr>
              <w:spacing w:after="0"/>
              <w:jc w:val="right"/>
              <w:rPr>
                <w:rFonts w:ascii="Times New Roman" w:hAnsi="Times New Roman" w:cs="Times New Roman"/>
                <w:color w:val="000000"/>
                <w:sz w:val="24"/>
                <w:szCs w:val="24"/>
              </w:rPr>
            </w:pPr>
            <w:r w:rsidRPr="0099355B">
              <w:rPr>
                <w:rFonts w:ascii="Times New Roman" w:hAnsi="Times New Roman" w:cs="Times New Roman"/>
                <w:color w:val="000000"/>
                <w:sz w:val="24"/>
                <w:szCs w:val="24"/>
              </w:rPr>
              <w:t>2</w:t>
            </w:r>
          </w:p>
        </w:tc>
        <w:tc>
          <w:tcPr>
            <w:tcW w:w="2729" w:type="dxa"/>
            <w:shd w:val="clear" w:color="auto" w:fill="auto"/>
            <w:tcMar>
              <w:bottom w:w="142" w:type="dxa"/>
            </w:tcMar>
            <w:vAlign w:val="center"/>
            <w:hideMark/>
          </w:tcPr>
          <w:p w:rsidR="0099355B" w:rsidRPr="0099355B" w:rsidRDefault="0099355B" w:rsidP="003D3D8C">
            <w:pPr>
              <w:spacing w:after="0" w:line="240" w:lineRule="auto"/>
              <w:rPr>
                <w:rFonts w:ascii="Times New Roman" w:hAnsi="Times New Roman" w:cs="Times New Roman"/>
                <w:sz w:val="24"/>
                <w:szCs w:val="24"/>
              </w:rPr>
            </w:pPr>
            <w:r w:rsidRPr="0099355B">
              <w:rPr>
                <w:rFonts w:ascii="Times New Roman" w:hAnsi="Times New Roman" w:cs="Times New Roman"/>
                <w:sz w:val="24"/>
                <w:szCs w:val="24"/>
              </w:rPr>
              <w:t xml:space="preserve">The Municipal Council </w:t>
            </w:r>
            <w:r w:rsidR="00AA549B">
              <w:rPr>
                <w:rFonts w:ascii="Times New Roman" w:hAnsi="Times New Roman" w:cs="Times New Roman"/>
                <w:sz w:val="24"/>
                <w:szCs w:val="24"/>
              </w:rPr>
              <w:t xml:space="preserve"> </w:t>
            </w:r>
            <w:r w:rsidRPr="0099355B">
              <w:rPr>
                <w:rFonts w:ascii="Times New Roman" w:hAnsi="Times New Roman" w:cs="Times New Roman"/>
                <w:sz w:val="24"/>
                <w:szCs w:val="24"/>
              </w:rPr>
              <w:t>of Curepipe</w:t>
            </w:r>
          </w:p>
        </w:tc>
        <w:tc>
          <w:tcPr>
            <w:tcW w:w="1560" w:type="dxa"/>
            <w:shd w:val="clear" w:color="auto" w:fill="auto"/>
            <w:tcMar>
              <w:bottom w:w="142" w:type="dxa"/>
            </w:tcMar>
            <w:hideMark/>
          </w:tcPr>
          <w:p w:rsidR="0099355B" w:rsidRPr="0099355B" w:rsidRDefault="0099355B" w:rsidP="003D3D8C">
            <w:pPr>
              <w:spacing w:after="0" w:line="240" w:lineRule="auto"/>
              <w:ind w:right="-108"/>
              <w:jc w:val="center"/>
              <w:rPr>
                <w:rFonts w:ascii="Times New Roman" w:eastAsia="Times New Roman" w:hAnsi="Times New Roman" w:cs="Times New Roman"/>
                <w:bCs/>
                <w:color w:val="000000"/>
                <w:sz w:val="24"/>
                <w:szCs w:val="24"/>
              </w:rPr>
            </w:pPr>
            <w:r w:rsidRPr="0099355B">
              <w:rPr>
                <w:rFonts w:ascii="Times New Roman" w:eastAsia="Times New Roman" w:hAnsi="Times New Roman" w:cs="Times New Roman"/>
                <w:bCs/>
                <w:color w:val="000000"/>
                <w:sz w:val="24"/>
                <w:szCs w:val="24"/>
              </w:rPr>
              <w:t>1</w:t>
            </w:r>
          </w:p>
        </w:tc>
        <w:tc>
          <w:tcPr>
            <w:tcW w:w="2209" w:type="dxa"/>
            <w:shd w:val="clear" w:color="auto" w:fill="auto"/>
            <w:tcMar>
              <w:bottom w:w="142" w:type="dxa"/>
            </w:tcMar>
            <w:hideMark/>
          </w:tcPr>
          <w:p w:rsidR="0099355B" w:rsidRPr="0099355B" w:rsidRDefault="0099355B" w:rsidP="00AA549B">
            <w:pPr>
              <w:spacing w:after="0"/>
              <w:jc w:val="center"/>
              <w:rPr>
                <w:rFonts w:ascii="Times New Roman" w:hAnsi="Times New Roman" w:cs="Times New Roman"/>
                <w:sz w:val="24"/>
                <w:szCs w:val="24"/>
              </w:rPr>
            </w:pPr>
            <w:r w:rsidRPr="0099355B">
              <w:rPr>
                <w:rFonts w:ascii="Times New Roman" w:hAnsi="Times New Roman" w:cs="Times New Roman"/>
                <w:sz w:val="24"/>
                <w:szCs w:val="24"/>
              </w:rPr>
              <w:t>2015</w:t>
            </w:r>
          </w:p>
        </w:tc>
        <w:tc>
          <w:tcPr>
            <w:tcW w:w="1306" w:type="dxa"/>
            <w:shd w:val="clear" w:color="auto" w:fill="auto"/>
            <w:tcMar>
              <w:bottom w:w="142" w:type="dxa"/>
            </w:tcMar>
            <w:hideMark/>
          </w:tcPr>
          <w:p w:rsidR="0099355B" w:rsidRPr="0099355B" w:rsidRDefault="0099355B" w:rsidP="00AA549B">
            <w:pPr>
              <w:spacing w:after="0"/>
              <w:jc w:val="center"/>
              <w:rPr>
                <w:rFonts w:ascii="Times New Roman" w:hAnsi="Times New Roman" w:cs="Times New Roman"/>
                <w:sz w:val="24"/>
                <w:szCs w:val="24"/>
              </w:rPr>
            </w:pPr>
            <w:r w:rsidRPr="0099355B">
              <w:rPr>
                <w:rFonts w:ascii="Times New Roman" w:hAnsi="Times New Roman" w:cs="Times New Roman"/>
                <w:sz w:val="24"/>
                <w:szCs w:val="24"/>
              </w:rPr>
              <w:t>17.03.2017</w:t>
            </w:r>
          </w:p>
        </w:tc>
      </w:tr>
      <w:tr w:rsidR="0099355B" w:rsidRPr="003A1E9B" w:rsidTr="00AA549B">
        <w:trPr>
          <w:trHeight w:val="20"/>
          <w:jc w:val="center"/>
        </w:trPr>
        <w:tc>
          <w:tcPr>
            <w:tcW w:w="3213" w:type="dxa"/>
            <w:gridSpan w:val="2"/>
            <w:shd w:val="clear" w:color="auto" w:fill="auto"/>
            <w:noWrap/>
            <w:tcMar>
              <w:bottom w:w="0" w:type="dxa"/>
            </w:tcMar>
            <w:vAlign w:val="center"/>
            <w:hideMark/>
          </w:tcPr>
          <w:p w:rsidR="0099355B" w:rsidRPr="0099355B" w:rsidRDefault="0099355B" w:rsidP="00785E55">
            <w:pPr>
              <w:spacing w:after="0" w:line="240" w:lineRule="auto"/>
              <w:ind w:right="-108"/>
              <w:rPr>
                <w:rFonts w:ascii="Times New Roman" w:hAnsi="Times New Roman" w:cs="Times New Roman"/>
                <w:b/>
                <w:sz w:val="24"/>
                <w:szCs w:val="24"/>
              </w:rPr>
            </w:pPr>
            <w:r w:rsidRPr="0099355B">
              <w:rPr>
                <w:rFonts w:ascii="Times New Roman" w:eastAsia="Times New Roman" w:hAnsi="Times New Roman" w:cs="Times New Roman"/>
                <w:b/>
                <w:bCs/>
                <w:color w:val="000000"/>
                <w:sz w:val="24"/>
                <w:szCs w:val="24"/>
              </w:rPr>
              <w:t>Total</w:t>
            </w:r>
          </w:p>
        </w:tc>
        <w:tc>
          <w:tcPr>
            <w:tcW w:w="1560" w:type="dxa"/>
            <w:shd w:val="clear" w:color="auto" w:fill="auto"/>
            <w:tcMar>
              <w:bottom w:w="0" w:type="dxa"/>
            </w:tcMar>
            <w:vAlign w:val="center"/>
            <w:hideMark/>
          </w:tcPr>
          <w:p w:rsidR="0099355B" w:rsidRPr="0099355B" w:rsidRDefault="00AA549B" w:rsidP="00BA6EB6">
            <w:pPr>
              <w:spacing w:after="0" w:line="240" w:lineRule="auto"/>
              <w:ind w:right="-10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3515" w:type="dxa"/>
            <w:gridSpan w:val="2"/>
            <w:shd w:val="clear" w:color="auto" w:fill="auto"/>
            <w:tcMar>
              <w:bottom w:w="0" w:type="dxa"/>
            </w:tcMar>
            <w:vAlign w:val="bottom"/>
            <w:hideMark/>
          </w:tcPr>
          <w:p w:rsidR="0099355B" w:rsidRPr="0099355B" w:rsidRDefault="0099355B" w:rsidP="00BA6EB6">
            <w:pPr>
              <w:jc w:val="center"/>
              <w:rPr>
                <w:rFonts w:ascii="Times New Roman" w:hAnsi="Times New Roman" w:cs="Times New Roman"/>
                <w:sz w:val="24"/>
                <w:szCs w:val="24"/>
              </w:rPr>
            </w:pPr>
          </w:p>
        </w:tc>
      </w:tr>
    </w:tbl>
    <w:p w:rsidR="005B6268" w:rsidRPr="0099355B" w:rsidRDefault="005B6268" w:rsidP="0099355B">
      <w:pPr>
        <w:pBdr>
          <w:bottom w:val="single" w:sz="4" w:space="1" w:color="auto"/>
        </w:pBdr>
        <w:autoSpaceDE w:val="0"/>
        <w:autoSpaceDN w:val="0"/>
        <w:adjustRightInd w:val="0"/>
        <w:spacing w:after="0" w:line="240" w:lineRule="auto"/>
        <w:ind w:right="27"/>
        <w:jc w:val="both"/>
        <w:rPr>
          <w:rFonts w:ascii="Times New Roman" w:hAnsi="Times New Roman" w:cs="Times New Roman"/>
          <w:sz w:val="24"/>
          <w:szCs w:val="24"/>
        </w:rPr>
      </w:pPr>
    </w:p>
    <w:p w:rsidR="005B6268" w:rsidRPr="002F187B" w:rsidRDefault="005B6268" w:rsidP="00D809F4">
      <w:pPr>
        <w:autoSpaceDE w:val="0"/>
        <w:autoSpaceDN w:val="0"/>
        <w:adjustRightInd w:val="0"/>
        <w:spacing w:after="0" w:line="240" w:lineRule="auto"/>
        <w:ind w:right="27"/>
        <w:jc w:val="both"/>
        <w:rPr>
          <w:rFonts w:ascii="Times New Roman" w:hAnsi="Times New Roman" w:cs="Times New Roman"/>
          <w:sz w:val="24"/>
          <w:szCs w:val="24"/>
        </w:rPr>
      </w:pPr>
    </w:p>
    <w:p w:rsidR="00ED212E" w:rsidRDefault="006449E2" w:rsidP="0099355B">
      <w:pPr>
        <w:autoSpaceDE w:val="0"/>
        <w:autoSpaceDN w:val="0"/>
        <w:adjustRightInd w:val="0"/>
        <w:spacing w:after="0" w:line="240" w:lineRule="auto"/>
        <w:ind w:right="27"/>
        <w:jc w:val="both"/>
        <w:rPr>
          <w:rFonts w:ascii="Times New Roman" w:hAnsi="Times New Roman" w:cs="Times New Roman"/>
          <w:sz w:val="24"/>
        </w:rPr>
      </w:pPr>
      <w:r w:rsidRPr="002F187B">
        <w:rPr>
          <w:rFonts w:ascii="Times New Roman" w:hAnsi="Times New Roman" w:cs="Times New Roman"/>
          <w:sz w:val="24"/>
        </w:rPr>
        <w:t>The Director of Audit is</w:t>
      </w:r>
      <w:r w:rsidR="0099355B">
        <w:rPr>
          <w:rFonts w:ascii="Times New Roman" w:hAnsi="Times New Roman" w:cs="Times New Roman"/>
          <w:sz w:val="24"/>
        </w:rPr>
        <w:t xml:space="preserve"> </w:t>
      </w:r>
      <w:r w:rsidR="00ED212E">
        <w:rPr>
          <w:rFonts w:ascii="Times New Roman" w:hAnsi="Times New Roman" w:cs="Times New Roman"/>
          <w:sz w:val="24"/>
        </w:rPr>
        <w:t xml:space="preserve">thus </w:t>
      </w:r>
      <w:r w:rsidR="00B77826">
        <w:rPr>
          <w:rFonts w:ascii="Times New Roman" w:hAnsi="Times New Roman" w:cs="Times New Roman"/>
          <w:sz w:val="24"/>
        </w:rPr>
        <w:t>responsible for the audit of all</w:t>
      </w:r>
      <w:r w:rsidRPr="002F187B">
        <w:rPr>
          <w:rFonts w:ascii="Times New Roman" w:hAnsi="Times New Roman" w:cs="Times New Roman"/>
          <w:sz w:val="24"/>
        </w:rPr>
        <w:t xml:space="preserve"> Local Authorities</w:t>
      </w:r>
      <w:bookmarkStart w:id="5" w:name="AppendixIV"/>
      <w:r w:rsidRPr="002F187B">
        <w:rPr>
          <w:rFonts w:ascii="Times New Roman" w:hAnsi="Times New Roman" w:cs="Times New Roman"/>
          <w:sz w:val="24"/>
        </w:rPr>
        <w:t xml:space="preserve">. </w:t>
      </w:r>
      <w:hyperlink r:id="rId13" w:history="1">
        <w:r w:rsidRPr="00522B21">
          <w:rPr>
            <w:rStyle w:val="Hyperlink"/>
            <w:rFonts w:ascii="Times New Roman" w:hAnsi="Times New Roman" w:cs="Times New Roman"/>
            <w:sz w:val="24"/>
          </w:rPr>
          <w:t>A</w:t>
        </w:r>
        <w:r w:rsidRPr="00522B21">
          <w:rPr>
            <w:rStyle w:val="Hyperlink"/>
            <w:rFonts w:ascii="Times New Roman" w:hAnsi="Times New Roman" w:cs="Times New Roman"/>
            <w:sz w:val="24"/>
          </w:rPr>
          <w:t>p</w:t>
        </w:r>
        <w:r w:rsidRPr="00522B21">
          <w:rPr>
            <w:rStyle w:val="Hyperlink"/>
            <w:rFonts w:ascii="Times New Roman" w:hAnsi="Times New Roman" w:cs="Times New Roman"/>
            <w:sz w:val="24"/>
          </w:rPr>
          <w:t>p</w:t>
        </w:r>
        <w:r w:rsidRPr="00522B21">
          <w:rPr>
            <w:rStyle w:val="Hyperlink"/>
            <w:rFonts w:ascii="Times New Roman" w:hAnsi="Times New Roman" w:cs="Times New Roman"/>
            <w:sz w:val="24"/>
          </w:rPr>
          <w:t>e</w:t>
        </w:r>
        <w:r w:rsidRPr="00522B21">
          <w:rPr>
            <w:rStyle w:val="Hyperlink"/>
            <w:rFonts w:ascii="Times New Roman" w:hAnsi="Times New Roman" w:cs="Times New Roman"/>
            <w:sz w:val="24"/>
          </w:rPr>
          <w:t>n</w:t>
        </w:r>
        <w:r w:rsidRPr="00522B21">
          <w:rPr>
            <w:rStyle w:val="Hyperlink"/>
            <w:rFonts w:ascii="Times New Roman" w:hAnsi="Times New Roman" w:cs="Times New Roman"/>
            <w:sz w:val="24"/>
          </w:rPr>
          <w:t>dix</w:t>
        </w:r>
        <w:r w:rsidR="00E06A8A" w:rsidRPr="00522B21">
          <w:rPr>
            <w:rStyle w:val="Hyperlink"/>
            <w:rFonts w:ascii="Times New Roman" w:hAnsi="Times New Roman" w:cs="Times New Roman"/>
            <w:sz w:val="24"/>
          </w:rPr>
          <w:t xml:space="preserve"> IV</w:t>
        </w:r>
        <w:bookmarkStart w:id="6" w:name="APPIV"/>
        <w:bookmarkEnd w:id="6"/>
        <w:bookmarkEnd w:id="5"/>
      </w:hyperlink>
      <w:r w:rsidR="00547B3E">
        <w:rPr>
          <w:rFonts w:ascii="Times New Roman" w:hAnsi="Times New Roman" w:cs="Times New Roman"/>
          <w:sz w:val="24"/>
        </w:rPr>
        <w:t xml:space="preserve"> </w:t>
      </w:r>
      <w:r w:rsidRPr="002F187B">
        <w:rPr>
          <w:rFonts w:ascii="Times New Roman" w:hAnsi="Times New Roman" w:cs="Times New Roman"/>
          <w:sz w:val="24"/>
        </w:rPr>
        <w:t>refers</w:t>
      </w:r>
    </w:p>
    <w:p w:rsidR="0099355B" w:rsidRDefault="0099355B" w:rsidP="0099355B">
      <w:pPr>
        <w:autoSpaceDE w:val="0"/>
        <w:autoSpaceDN w:val="0"/>
        <w:adjustRightInd w:val="0"/>
        <w:spacing w:after="0" w:line="240" w:lineRule="auto"/>
        <w:ind w:right="27"/>
        <w:jc w:val="both"/>
        <w:rPr>
          <w:rFonts w:ascii="Times New Roman" w:hAnsi="Times New Roman" w:cs="Times New Roman"/>
          <w:sz w:val="24"/>
        </w:rPr>
      </w:pPr>
    </w:p>
    <w:p w:rsidR="00CF27B5" w:rsidRDefault="00CF27B5" w:rsidP="0099355B">
      <w:pPr>
        <w:autoSpaceDE w:val="0"/>
        <w:autoSpaceDN w:val="0"/>
        <w:adjustRightInd w:val="0"/>
        <w:spacing w:after="0" w:line="240" w:lineRule="auto"/>
        <w:ind w:right="27"/>
        <w:jc w:val="both"/>
        <w:rPr>
          <w:rFonts w:ascii="Times New Roman" w:hAnsi="Times New Roman" w:cs="Times New Roman"/>
          <w:sz w:val="24"/>
        </w:rPr>
      </w:pPr>
    </w:p>
    <w:p w:rsidR="00065ABA" w:rsidRPr="002F187B" w:rsidRDefault="00470AF1" w:rsidP="00D809F4">
      <w:pPr>
        <w:pStyle w:val="Heading6"/>
        <w:tabs>
          <w:tab w:val="left" w:pos="663"/>
        </w:tabs>
        <w:kinsoku w:val="0"/>
        <w:overflowPunct w:val="0"/>
        <w:ind w:left="0" w:right="27"/>
        <w:jc w:val="both"/>
        <w:rPr>
          <w:b w:val="0"/>
          <w:bCs w:val="0"/>
        </w:rPr>
      </w:pPr>
      <w:proofErr w:type="gramStart"/>
      <w:r w:rsidRPr="002F187B">
        <w:t>2</w:t>
      </w:r>
      <w:r w:rsidR="00AB6753">
        <w:t>2</w:t>
      </w:r>
      <w:r w:rsidRPr="002F187B">
        <w:t>.</w:t>
      </w:r>
      <w:r w:rsidR="00683881">
        <w:t>4</w:t>
      </w:r>
      <w:r w:rsidR="0099355B">
        <w:t xml:space="preserve">  </w:t>
      </w:r>
      <w:r w:rsidR="00065ABA" w:rsidRPr="002F187B">
        <w:t>Other</w:t>
      </w:r>
      <w:proofErr w:type="gramEnd"/>
      <w:r w:rsidR="00065ABA" w:rsidRPr="002F187B">
        <w:t xml:space="preserve"> Bodies</w:t>
      </w:r>
    </w:p>
    <w:p w:rsidR="00065ABA" w:rsidRPr="002F187B" w:rsidRDefault="00065ABA" w:rsidP="00D809F4">
      <w:pPr>
        <w:kinsoku w:val="0"/>
        <w:overflowPunct w:val="0"/>
        <w:spacing w:before="11" w:after="0" w:line="240" w:lineRule="auto"/>
        <w:ind w:right="27"/>
        <w:jc w:val="both"/>
        <w:rPr>
          <w:sz w:val="26"/>
          <w:szCs w:val="26"/>
        </w:rPr>
      </w:pPr>
    </w:p>
    <w:p w:rsidR="002F187B" w:rsidRDefault="006449E2" w:rsidP="00D809F4">
      <w:pPr>
        <w:pStyle w:val="BodyText"/>
        <w:kinsoku w:val="0"/>
        <w:overflowPunct w:val="0"/>
        <w:ind w:left="0" w:right="27"/>
        <w:jc w:val="both"/>
      </w:pPr>
      <w:r w:rsidRPr="002F187B">
        <w:t xml:space="preserve">The Director of Audit is responsible for the audit of </w:t>
      </w:r>
      <w:r w:rsidR="00311AF9">
        <w:t>four</w:t>
      </w:r>
      <w:r w:rsidR="00EF778B" w:rsidRPr="002F187B">
        <w:t xml:space="preserve"> </w:t>
      </w:r>
      <w:r w:rsidR="004F05B6">
        <w:t>State Owned</w:t>
      </w:r>
      <w:r w:rsidR="00311AF9">
        <w:t xml:space="preserve"> Companies and </w:t>
      </w:r>
      <w:r w:rsidR="00EA7FD1">
        <w:br/>
      </w:r>
      <w:r w:rsidR="00311AF9">
        <w:t xml:space="preserve">26 </w:t>
      </w:r>
      <w:r w:rsidR="00EF778B" w:rsidRPr="002F187B">
        <w:t>Other B</w:t>
      </w:r>
      <w:r w:rsidRPr="002F187B">
        <w:t>odies including donor-funded projects</w:t>
      </w:r>
      <w:r w:rsidR="00BA6605">
        <w:t>.</w:t>
      </w:r>
      <w:r w:rsidR="00E05FA8">
        <w:t xml:space="preserve"> </w:t>
      </w:r>
      <w:bookmarkStart w:id="7" w:name="Appedix_VA"/>
      <w:r w:rsidR="00522B21">
        <w:fldChar w:fldCharType="begin"/>
      </w:r>
      <w:r w:rsidR="00522B21">
        <w:instrText xml:space="preserve"> HYPERLINK "31_Appendix_VA.docx" </w:instrText>
      </w:r>
      <w:r w:rsidR="00522B21">
        <w:fldChar w:fldCharType="separate"/>
      </w:r>
      <w:r w:rsidR="00BA6605" w:rsidRPr="00522B21">
        <w:rPr>
          <w:rStyle w:val="Hyperlink"/>
        </w:rPr>
        <w:t>Appen</w:t>
      </w:r>
      <w:r w:rsidR="00BA6605" w:rsidRPr="00522B21">
        <w:rPr>
          <w:rStyle w:val="Hyperlink"/>
        </w:rPr>
        <w:t>d</w:t>
      </w:r>
      <w:r w:rsidR="00BA6605" w:rsidRPr="00522B21">
        <w:rPr>
          <w:rStyle w:val="Hyperlink"/>
        </w:rPr>
        <w:t>ix</w:t>
      </w:r>
      <w:r w:rsidR="002746D9" w:rsidRPr="00522B21">
        <w:rPr>
          <w:rStyle w:val="Hyperlink"/>
        </w:rPr>
        <w:t xml:space="preserve"> </w:t>
      </w:r>
      <w:r w:rsidR="00BA6605" w:rsidRPr="00522B21">
        <w:rPr>
          <w:rStyle w:val="Hyperlink"/>
        </w:rPr>
        <w:t>VA</w:t>
      </w:r>
      <w:bookmarkEnd w:id="7"/>
      <w:r w:rsidR="00522B21">
        <w:fldChar w:fldCharType="end"/>
      </w:r>
      <w:r w:rsidR="00E05FA8">
        <w:t xml:space="preserve"> </w:t>
      </w:r>
      <w:r w:rsidR="00BA6605" w:rsidRPr="002F187B">
        <w:t>refers</w:t>
      </w:r>
      <w:r w:rsidRPr="002F187B">
        <w:t>.</w:t>
      </w:r>
      <w:r w:rsidR="00CF27B5">
        <w:t xml:space="preserve"> </w:t>
      </w:r>
      <w:r w:rsidR="00BB39C1" w:rsidRPr="00311AF9">
        <w:t>1</w:t>
      </w:r>
      <w:r w:rsidR="00E06A8A" w:rsidRPr="00311AF9">
        <w:t>3</w:t>
      </w:r>
      <w:r w:rsidR="00DE3C76">
        <w:t xml:space="preserve"> </w:t>
      </w:r>
      <w:r w:rsidRPr="00311AF9">
        <w:t>of</w:t>
      </w:r>
      <w:r w:rsidRPr="002F187B">
        <w:t xml:space="preserve"> these </w:t>
      </w:r>
      <w:proofErr w:type="spellStart"/>
      <w:r w:rsidR="00065ABA" w:rsidRPr="002F187B">
        <w:t>organisations</w:t>
      </w:r>
      <w:proofErr w:type="spellEnd"/>
      <w:r w:rsidR="00065ABA" w:rsidRPr="002F187B">
        <w:t xml:space="preserve"> have not yet submitted a total of </w:t>
      </w:r>
      <w:r w:rsidR="00311AF9" w:rsidRPr="00311AF9">
        <w:t>45</w:t>
      </w:r>
      <w:r w:rsidR="00065ABA" w:rsidRPr="002F187B">
        <w:t xml:space="preserve"> financial statements to my Office for audit purposes. </w:t>
      </w:r>
      <w:bookmarkStart w:id="8" w:name="Appedix_VB"/>
      <w:r w:rsidR="00522B21">
        <w:fldChar w:fldCharType="begin"/>
      </w:r>
      <w:r w:rsidR="00522B21">
        <w:instrText xml:space="preserve"> HYPERLINK "32_Appendix_VB.docx" </w:instrText>
      </w:r>
      <w:r w:rsidR="00522B21">
        <w:fldChar w:fldCharType="separate"/>
      </w:r>
      <w:r w:rsidR="00065ABA" w:rsidRPr="00522B21">
        <w:rPr>
          <w:rStyle w:val="Hyperlink"/>
        </w:rPr>
        <w:t>Appen</w:t>
      </w:r>
      <w:r w:rsidR="00065ABA" w:rsidRPr="00522B21">
        <w:rPr>
          <w:rStyle w:val="Hyperlink"/>
        </w:rPr>
        <w:t>d</w:t>
      </w:r>
      <w:r w:rsidR="00065ABA" w:rsidRPr="00522B21">
        <w:rPr>
          <w:rStyle w:val="Hyperlink"/>
        </w:rPr>
        <w:t>i</w:t>
      </w:r>
      <w:r w:rsidR="00065ABA" w:rsidRPr="00522B21">
        <w:rPr>
          <w:rStyle w:val="Hyperlink"/>
        </w:rPr>
        <w:t xml:space="preserve">x </w:t>
      </w:r>
      <w:r w:rsidR="00BA6605" w:rsidRPr="00522B21">
        <w:rPr>
          <w:rStyle w:val="Hyperlink"/>
        </w:rPr>
        <w:t>V</w:t>
      </w:r>
      <w:r w:rsidR="005F488F" w:rsidRPr="00522B21">
        <w:rPr>
          <w:rStyle w:val="Hyperlink"/>
        </w:rPr>
        <w:t>B</w:t>
      </w:r>
      <w:bookmarkEnd w:id="8"/>
      <w:r w:rsidR="00522B21">
        <w:fldChar w:fldCharType="end"/>
      </w:r>
      <w:r w:rsidR="005F488F">
        <w:t xml:space="preserve"> r</w:t>
      </w:r>
      <w:r w:rsidR="00065ABA" w:rsidRPr="002F187B">
        <w:t>efers.</w:t>
      </w:r>
    </w:p>
    <w:p w:rsidR="00651C8D" w:rsidRDefault="00462716">
      <w:pPr>
        <w:rPr>
          <w:rFonts w:ascii="Times New Roman" w:eastAsiaTheme="minorEastAsia" w:hAnsi="Times New Roman" w:cs="Times New Roman"/>
          <w:sz w:val="24"/>
          <w:szCs w:val="24"/>
        </w:rPr>
      </w:pPr>
      <w:r>
        <w:rPr>
          <w:noProof/>
          <w:lang w:val="en-GB" w:eastAsia="en-GB"/>
        </w:rPr>
        <w:pict w14:anchorId="66A1E8F3">
          <v:shape id="_x0000_s1027" type="#_x0000_t202" style="position:absolute;margin-left:384.75pt;margin-top:379.65pt;width:105.35pt;height:22.5pt;z-index:251659264;visibility:visible;mso-wrap-distance-top:3.6pt;mso-wrap-distance-bottom:3.6pt;mso-width-relative:margin;mso-height-relative:margin" stroked="f">
            <v:textbox>
              <w:txbxContent>
                <w:p w:rsidR="00462716" w:rsidRPr="009F119E" w:rsidRDefault="00462716" w:rsidP="006B49BE">
                  <w:pPr>
                    <w:jc w:val="center"/>
                    <w:rPr>
                      <w:color w:val="7030A0"/>
                      <w:u w:val="single"/>
                    </w:rPr>
                  </w:pPr>
                  <w:hyperlink r:id="rId14" w:history="1">
                    <w:r w:rsidRPr="009F119E">
                      <w:rPr>
                        <w:rStyle w:val="Hyperlink"/>
                      </w:rPr>
                      <w:t>Back to Contents</w:t>
                    </w:r>
                  </w:hyperlink>
                </w:p>
              </w:txbxContent>
            </v:textbox>
            <w10:wrap type="square"/>
          </v:shape>
        </w:pict>
      </w:r>
      <w:r w:rsidR="00651C8D">
        <w:br w:type="page"/>
      </w:r>
      <w:bookmarkStart w:id="9" w:name="_GoBack"/>
      <w:bookmarkEnd w:id="9"/>
    </w:p>
    <w:p w:rsidR="00651C8D" w:rsidRPr="002F187B" w:rsidRDefault="00651C8D" w:rsidP="00D809F4">
      <w:pPr>
        <w:pStyle w:val="BodyText"/>
        <w:kinsoku w:val="0"/>
        <w:overflowPunct w:val="0"/>
        <w:ind w:left="0" w:right="27"/>
        <w:jc w:val="both"/>
      </w:pPr>
    </w:p>
    <w:sectPr w:rsidR="00651C8D" w:rsidRPr="002F187B" w:rsidSect="009715C5">
      <w:footerReference w:type="default" r:id="rId15"/>
      <w:headerReference w:type="first" r:id="rId16"/>
      <w:footerReference w:type="first" r:id="rId17"/>
      <w:pgSz w:w="11907" w:h="16839" w:code="9"/>
      <w:pgMar w:top="1440" w:right="1440" w:bottom="1440" w:left="1800" w:header="720" w:footer="720" w:gutter="0"/>
      <w:pgNumType w:start="28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716" w:rsidRDefault="00462716" w:rsidP="00065ABA">
      <w:pPr>
        <w:spacing w:after="0" w:line="240" w:lineRule="auto"/>
      </w:pPr>
      <w:r>
        <w:separator/>
      </w:r>
    </w:p>
  </w:endnote>
  <w:endnote w:type="continuationSeparator" w:id="0">
    <w:p w:rsidR="00462716" w:rsidRDefault="00462716" w:rsidP="0006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2522"/>
      <w:docPartObj>
        <w:docPartGallery w:val="Page Numbers (Bottom of Page)"/>
        <w:docPartUnique/>
      </w:docPartObj>
    </w:sdtPr>
    <w:sdtEndPr>
      <w:rPr>
        <w:sz w:val="24"/>
        <w:szCs w:val="24"/>
      </w:rPr>
    </w:sdtEndPr>
    <w:sdtContent>
      <w:p w:rsidR="00462716" w:rsidRPr="00220F13" w:rsidRDefault="00462716">
        <w:pPr>
          <w:pStyle w:val="Footer"/>
          <w:jc w:val="center"/>
          <w:rPr>
            <w:sz w:val="24"/>
            <w:szCs w:val="24"/>
          </w:rPr>
        </w:pPr>
        <w:r w:rsidRPr="00220F13">
          <w:rPr>
            <w:rFonts w:ascii="Times New Roman" w:hAnsi="Times New Roman" w:cs="Times New Roman"/>
            <w:sz w:val="24"/>
            <w:szCs w:val="24"/>
          </w:rPr>
          <w:fldChar w:fldCharType="begin"/>
        </w:r>
        <w:r w:rsidRPr="00220F13">
          <w:rPr>
            <w:rFonts w:ascii="Times New Roman" w:hAnsi="Times New Roman" w:cs="Times New Roman"/>
            <w:sz w:val="24"/>
            <w:szCs w:val="24"/>
          </w:rPr>
          <w:instrText xml:space="preserve"> PAGE   \* MERGEFORMAT </w:instrText>
        </w:r>
        <w:r w:rsidRPr="00220F13">
          <w:rPr>
            <w:rFonts w:ascii="Times New Roman" w:hAnsi="Times New Roman" w:cs="Times New Roman"/>
            <w:sz w:val="24"/>
            <w:szCs w:val="24"/>
          </w:rPr>
          <w:fldChar w:fldCharType="separate"/>
        </w:r>
        <w:r w:rsidR="00522B21">
          <w:rPr>
            <w:rFonts w:ascii="Times New Roman" w:hAnsi="Times New Roman" w:cs="Times New Roman"/>
            <w:noProof/>
            <w:sz w:val="24"/>
            <w:szCs w:val="24"/>
          </w:rPr>
          <w:t>284</w:t>
        </w:r>
        <w:r w:rsidRPr="00220F13">
          <w:rPr>
            <w:rFonts w:ascii="Times New Roman" w:hAnsi="Times New Roman" w:cs="Times New Roman"/>
            <w:sz w:val="24"/>
            <w:szCs w:val="24"/>
          </w:rPr>
          <w:fldChar w:fldCharType="end"/>
        </w:r>
      </w:p>
    </w:sdtContent>
  </w:sdt>
  <w:p w:rsidR="00462716" w:rsidRPr="00220F13" w:rsidRDefault="00462716" w:rsidP="00220F13">
    <w:pPr>
      <w:tabs>
        <w:tab w:val="center" w:pos="4513"/>
        <w:tab w:val="right" w:pos="9027"/>
      </w:tabs>
      <w:jc w:val="center"/>
      <w:rPr>
        <w:sz w:val="18"/>
        <w:szCs w:val="18"/>
      </w:rPr>
    </w:pPr>
    <w:r w:rsidRPr="00220F13">
      <w:rPr>
        <w:rFonts w:ascii="Times New Roman" w:hAnsi="Times New Roman" w:cs="Times New Roman"/>
        <w:smallCaps/>
        <w:sz w:val="18"/>
        <w:szCs w:val="18"/>
      </w:rPr>
      <w:t>Statutory Bodies, Local Authorities and Other Bodies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64913"/>
      <w:docPartObj>
        <w:docPartGallery w:val="Page Numbers (Bottom of Page)"/>
        <w:docPartUnique/>
      </w:docPartObj>
    </w:sdtPr>
    <w:sdtEndPr>
      <w:rPr>
        <w:rFonts w:ascii="Times New Roman" w:hAnsi="Times New Roman" w:cs="Times New Roman"/>
        <w:sz w:val="24"/>
        <w:szCs w:val="24"/>
      </w:rPr>
    </w:sdtEndPr>
    <w:sdtContent>
      <w:p w:rsidR="00462716" w:rsidRPr="00BE3790" w:rsidRDefault="00462716">
        <w:pPr>
          <w:pStyle w:val="Footer"/>
          <w:jc w:val="center"/>
          <w:rPr>
            <w:rFonts w:ascii="Times New Roman" w:hAnsi="Times New Roman" w:cs="Times New Roman"/>
            <w:sz w:val="24"/>
            <w:szCs w:val="24"/>
          </w:rPr>
        </w:pPr>
        <w:r w:rsidRPr="00BE3790">
          <w:rPr>
            <w:rFonts w:ascii="Times New Roman" w:hAnsi="Times New Roman" w:cs="Times New Roman"/>
            <w:sz w:val="24"/>
            <w:szCs w:val="24"/>
          </w:rPr>
          <w:fldChar w:fldCharType="begin"/>
        </w:r>
        <w:r w:rsidRPr="00BE3790">
          <w:rPr>
            <w:rFonts w:ascii="Times New Roman" w:hAnsi="Times New Roman" w:cs="Times New Roman"/>
            <w:sz w:val="24"/>
            <w:szCs w:val="24"/>
          </w:rPr>
          <w:instrText xml:space="preserve"> PAGE   \* MERGEFORMAT </w:instrText>
        </w:r>
        <w:r w:rsidRPr="00BE3790">
          <w:rPr>
            <w:rFonts w:ascii="Times New Roman" w:hAnsi="Times New Roman" w:cs="Times New Roman"/>
            <w:sz w:val="24"/>
            <w:szCs w:val="24"/>
          </w:rPr>
          <w:fldChar w:fldCharType="separate"/>
        </w:r>
        <w:r w:rsidR="00522B21">
          <w:rPr>
            <w:rFonts w:ascii="Times New Roman" w:hAnsi="Times New Roman" w:cs="Times New Roman"/>
            <w:noProof/>
            <w:sz w:val="24"/>
            <w:szCs w:val="24"/>
          </w:rPr>
          <w:t>281</w:t>
        </w:r>
        <w:r w:rsidRPr="00BE3790">
          <w:rPr>
            <w:rFonts w:ascii="Times New Roman" w:hAnsi="Times New Roman" w:cs="Times New Roman"/>
            <w:sz w:val="24"/>
            <w:szCs w:val="24"/>
          </w:rPr>
          <w:fldChar w:fldCharType="end"/>
        </w:r>
      </w:p>
    </w:sdtContent>
  </w:sdt>
  <w:p w:rsidR="00462716" w:rsidRPr="00220F13" w:rsidRDefault="00462716" w:rsidP="00220F13">
    <w:pPr>
      <w:pStyle w:val="Footer"/>
      <w:jc w:val="center"/>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716" w:rsidRDefault="00462716" w:rsidP="00065ABA">
      <w:pPr>
        <w:spacing w:after="0" w:line="240" w:lineRule="auto"/>
      </w:pPr>
      <w:r>
        <w:separator/>
      </w:r>
    </w:p>
  </w:footnote>
  <w:footnote w:type="continuationSeparator" w:id="0">
    <w:p w:rsidR="00462716" w:rsidRDefault="00462716" w:rsidP="00065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716" w:rsidRDefault="00462716" w:rsidP="00683881">
    <w:pPr>
      <w:tabs>
        <w:tab w:val="center" w:pos="4513"/>
        <w:tab w:val="right" w:pos="9027"/>
      </w:tabs>
      <w:jc w:val="center"/>
    </w:pPr>
    <w:r w:rsidRPr="00683881">
      <w:rPr>
        <w:rFonts w:ascii="Times New Roman" w:hAnsi="Times New Roman" w:cs="Times New Roman"/>
        <w:b/>
        <w:smallCaps/>
        <w:sz w:val="40"/>
        <w:szCs w:val="40"/>
      </w:rPr>
      <w:t>22 - Statutory Bodies, Local Authorities</w:t>
    </w:r>
    <w:r w:rsidRPr="00683881">
      <w:rPr>
        <w:rFonts w:ascii="Times New Roman" w:hAnsi="Times New Roman" w:cs="Times New Roman"/>
        <w:b/>
        <w:smallCaps/>
        <w:sz w:val="40"/>
        <w:szCs w:val="40"/>
      </w:rPr>
      <w:br/>
      <w:t>and Other Bodies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3336"/>
    <w:multiLevelType w:val="hybridMultilevel"/>
    <w:tmpl w:val="DB08473C"/>
    <w:lvl w:ilvl="0" w:tplc="0409000B">
      <w:start w:val="1"/>
      <w:numFmt w:val="bullet"/>
      <w:lvlText w:val=""/>
      <w:lvlJc w:val="left"/>
      <w:pPr>
        <w:ind w:left="460" w:hanging="360"/>
      </w:pPr>
      <w:rPr>
        <w:rFonts w:ascii="Wingdings" w:hAnsi="Wingding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05D57A81"/>
    <w:multiLevelType w:val="hybridMultilevel"/>
    <w:tmpl w:val="E05E07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407399"/>
    <w:multiLevelType w:val="hybridMultilevel"/>
    <w:tmpl w:val="58065FF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1D59272E"/>
    <w:multiLevelType w:val="hybridMultilevel"/>
    <w:tmpl w:val="BD46AA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DA2695"/>
    <w:multiLevelType w:val="hybridMultilevel"/>
    <w:tmpl w:val="16C85960"/>
    <w:lvl w:ilvl="0" w:tplc="6B16864A">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B3C22"/>
    <w:multiLevelType w:val="hybridMultilevel"/>
    <w:tmpl w:val="5A722698"/>
    <w:lvl w:ilvl="0" w:tplc="55249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270CA"/>
    <w:multiLevelType w:val="hybridMultilevel"/>
    <w:tmpl w:val="FFAC0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35836"/>
    <w:multiLevelType w:val="hybridMultilevel"/>
    <w:tmpl w:val="CBF4D38A"/>
    <w:lvl w:ilvl="0" w:tplc="0409000B">
      <w:start w:val="1"/>
      <w:numFmt w:val="bullet"/>
      <w:lvlText w:val=""/>
      <w:lvlJc w:val="left"/>
      <w:pPr>
        <w:ind w:left="480" w:hanging="360"/>
      </w:pPr>
      <w:rPr>
        <w:rFonts w:ascii="Wingdings" w:hAnsi="Wingding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698D0FCA"/>
    <w:multiLevelType w:val="hybridMultilevel"/>
    <w:tmpl w:val="7A22F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8"/>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2"/>
  </w:compat>
  <w:rsids>
    <w:rsidRoot w:val="00065ABA"/>
    <w:rsid w:val="0001325D"/>
    <w:rsid w:val="000154BE"/>
    <w:rsid w:val="00023655"/>
    <w:rsid w:val="000246DC"/>
    <w:rsid w:val="000369B9"/>
    <w:rsid w:val="000371EA"/>
    <w:rsid w:val="00042593"/>
    <w:rsid w:val="000510B1"/>
    <w:rsid w:val="00065ABA"/>
    <w:rsid w:val="0006626E"/>
    <w:rsid w:val="000A66FC"/>
    <w:rsid w:val="000B3C20"/>
    <w:rsid w:val="000B400C"/>
    <w:rsid w:val="000C5B9A"/>
    <w:rsid w:val="000D1269"/>
    <w:rsid w:val="000D3DBB"/>
    <w:rsid w:val="000D758D"/>
    <w:rsid w:val="000E2EB9"/>
    <w:rsid w:val="000E3807"/>
    <w:rsid w:val="000F0176"/>
    <w:rsid w:val="0010473F"/>
    <w:rsid w:val="00121E8E"/>
    <w:rsid w:val="00125BDA"/>
    <w:rsid w:val="001363BF"/>
    <w:rsid w:val="00137679"/>
    <w:rsid w:val="00140726"/>
    <w:rsid w:val="00143DBF"/>
    <w:rsid w:val="00151927"/>
    <w:rsid w:val="001618FD"/>
    <w:rsid w:val="001639BF"/>
    <w:rsid w:val="00167D37"/>
    <w:rsid w:val="00171D00"/>
    <w:rsid w:val="001C58E6"/>
    <w:rsid w:val="001C7091"/>
    <w:rsid w:val="001D36B8"/>
    <w:rsid w:val="001D7198"/>
    <w:rsid w:val="001E6058"/>
    <w:rsid w:val="00203A83"/>
    <w:rsid w:val="002054E7"/>
    <w:rsid w:val="00206397"/>
    <w:rsid w:val="002078C7"/>
    <w:rsid w:val="00207F61"/>
    <w:rsid w:val="0021496A"/>
    <w:rsid w:val="00220F13"/>
    <w:rsid w:val="00247C6B"/>
    <w:rsid w:val="00253E36"/>
    <w:rsid w:val="002679CF"/>
    <w:rsid w:val="002746D9"/>
    <w:rsid w:val="00285A10"/>
    <w:rsid w:val="00295601"/>
    <w:rsid w:val="002A086A"/>
    <w:rsid w:val="002B549C"/>
    <w:rsid w:val="002D24C8"/>
    <w:rsid w:val="002E66A9"/>
    <w:rsid w:val="002F187B"/>
    <w:rsid w:val="003003FD"/>
    <w:rsid w:val="00302B98"/>
    <w:rsid w:val="00303ACB"/>
    <w:rsid w:val="00311AF9"/>
    <w:rsid w:val="00342CC8"/>
    <w:rsid w:val="00343555"/>
    <w:rsid w:val="00345CA2"/>
    <w:rsid w:val="00366A1A"/>
    <w:rsid w:val="003A7347"/>
    <w:rsid w:val="003A7F08"/>
    <w:rsid w:val="003B2CB4"/>
    <w:rsid w:val="003B31FE"/>
    <w:rsid w:val="003D06D0"/>
    <w:rsid w:val="003D3D8C"/>
    <w:rsid w:val="003D6CC2"/>
    <w:rsid w:val="003E2A08"/>
    <w:rsid w:val="00411236"/>
    <w:rsid w:val="00420C86"/>
    <w:rsid w:val="0044573D"/>
    <w:rsid w:val="00452873"/>
    <w:rsid w:val="00455613"/>
    <w:rsid w:val="00462716"/>
    <w:rsid w:val="00467650"/>
    <w:rsid w:val="00470AF1"/>
    <w:rsid w:val="00477839"/>
    <w:rsid w:val="00481A8F"/>
    <w:rsid w:val="00492AE6"/>
    <w:rsid w:val="004B375B"/>
    <w:rsid w:val="004B4D86"/>
    <w:rsid w:val="004D3576"/>
    <w:rsid w:val="004D5D38"/>
    <w:rsid w:val="004D736F"/>
    <w:rsid w:val="004E1FF9"/>
    <w:rsid w:val="004F05B6"/>
    <w:rsid w:val="004F5D0D"/>
    <w:rsid w:val="004F69A9"/>
    <w:rsid w:val="005107A3"/>
    <w:rsid w:val="00522B21"/>
    <w:rsid w:val="00542B95"/>
    <w:rsid w:val="00547B3E"/>
    <w:rsid w:val="005540B3"/>
    <w:rsid w:val="005667F2"/>
    <w:rsid w:val="00597FD8"/>
    <w:rsid w:val="005A4067"/>
    <w:rsid w:val="005B2D4D"/>
    <w:rsid w:val="005B4CF4"/>
    <w:rsid w:val="005B520D"/>
    <w:rsid w:val="005B6268"/>
    <w:rsid w:val="005C261D"/>
    <w:rsid w:val="005F488F"/>
    <w:rsid w:val="006162A2"/>
    <w:rsid w:val="006449E2"/>
    <w:rsid w:val="00651C8D"/>
    <w:rsid w:val="00657DDD"/>
    <w:rsid w:val="006737C8"/>
    <w:rsid w:val="006817EA"/>
    <w:rsid w:val="0068340F"/>
    <w:rsid w:val="00683881"/>
    <w:rsid w:val="00684023"/>
    <w:rsid w:val="006908AE"/>
    <w:rsid w:val="006A4F50"/>
    <w:rsid w:val="006A78B4"/>
    <w:rsid w:val="006B49BE"/>
    <w:rsid w:val="006C1387"/>
    <w:rsid w:val="006C15C2"/>
    <w:rsid w:val="006C1CD3"/>
    <w:rsid w:val="006C227E"/>
    <w:rsid w:val="006C6453"/>
    <w:rsid w:val="006F4916"/>
    <w:rsid w:val="006F58C3"/>
    <w:rsid w:val="007128B8"/>
    <w:rsid w:val="0072388E"/>
    <w:rsid w:val="007239C9"/>
    <w:rsid w:val="007352E8"/>
    <w:rsid w:val="0074418E"/>
    <w:rsid w:val="0075398D"/>
    <w:rsid w:val="007539C5"/>
    <w:rsid w:val="00755517"/>
    <w:rsid w:val="00756380"/>
    <w:rsid w:val="00761541"/>
    <w:rsid w:val="00770D06"/>
    <w:rsid w:val="00771A45"/>
    <w:rsid w:val="00774D95"/>
    <w:rsid w:val="00785E55"/>
    <w:rsid w:val="007A07BE"/>
    <w:rsid w:val="007A19E6"/>
    <w:rsid w:val="007F02B5"/>
    <w:rsid w:val="007F111A"/>
    <w:rsid w:val="007F27C3"/>
    <w:rsid w:val="007F5164"/>
    <w:rsid w:val="00820AE1"/>
    <w:rsid w:val="00823650"/>
    <w:rsid w:val="008323F7"/>
    <w:rsid w:val="008344BB"/>
    <w:rsid w:val="008644C9"/>
    <w:rsid w:val="00871A73"/>
    <w:rsid w:val="0087373F"/>
    <w:rsid w:val="00873DEE"/>
    <w:rsid w:val="00881571"/>
    <w:rsid w:val="0088355C"/>
    <w:rsid w:val="0088744A"/>
    <w:rsid w:val="00894A66"/>
    <w:rsid w:val="008D03AB"/>
    <w:rsid w:val="0091057E"/>
    <w:rsid w:val="00913F6C"/>
    <w:rsid w:val="00920D44"/>
    <w:rsid w:val="00925663"/>
    <w:rsid w:val="009310B8"/>
    <w:rsid w:val="00946B09"/>
    <w:rsid w:val="0095670C"/>
    <w:rsid w:val="00966C9D"/>
    <w:rsid w:val="00970C3E"/>
    <w:rsid w:val="009715C5"/>
    <w:rsid w:val="0099355B"/>
    <w:rsid w:val="00996245"/>
    <w:rsid w:val="009B2AE7"/>
    <w:rsid w:val="009C5693"/>
    <w:rsid w:val="009F34F1"/>
    <w:rsid w:val="00A23BD7"/>
    <w:rsid w:val="00A24D19"/>
    <w:rsid w:val="00A3460B"/>
    <w:rsid w:val="00A35942"/>
    <w:rsid w:val="00A36724"/>
    <w:rsid w:val="00A405F3"/>
    <w:rsid w:val="00A44E95"/>
    <w:rsid w:val="00A91A26"/>
    <w:rsid w:val="00AA549B"/>
    <w:rsid w:val="00AB6753"/>
    <w:rsid w:val="00AD21A1"/>
    <w:rsid w:val="00AD5505"/>
    <w:rsid w:val="00B054BE"/>
    <w:rsid w:val="00B14DAE"/>
    <w:rsid w:val="00B255B5"/>
    <w:rsid w:val="00B37F6C"/>
    <w:rsid w:val="00B40E28"/>
    <w:rsid w:val="00B67649"/>
    <w:rsid w:val="00B73B25"/>
    <w:rsid w:val="00B77826"/>
    <w:rsid w:val="00B8071F"/>
    <w:rsid w:val="00BA6605"/>
    <w:rsid w:val="00BA6EB6"/>
    <w:rsid w:val="00BB39C1"/>
    <w:rsid w:val="00BD0F71"/>
    <w:rsid w:val="00BD58D0"/>
    <w:rsid w:val="00BE0949"/>
    <w:rsid w:val="00BE3790"/>
    <w:rsid w:val="00BF4C5C"/>
    <w:rsid w:val="00BF4E76"/>
    <w:rsid w:val="00BF5F71"/>
    <w:rsid w:val="00C06D71"/>
    <w:rsid w:val="00C21B83"/>
    <w:rsid w:val="00C30897"/>
    <w:rsid w:val="00C35EEB"/>
    <w:rsid w:val="00C4647F"/>
    <w:rsid w:val="00C50A75"/>
    <w:rsid w:val="00C520ED"/>
    <w:rsid w:val="00C530B3"/>
    <w:rsid w:val="00C62B5A"/>
    <w:rsid w:val="00C66993"/>
    <w:rsid w:val="00C77692"/>
    <w:rsid w:val="00C87FD1"/>
    <w:rsid w:val="00C9128D"/>
    <w:rsid w:val="00C95057"/>
    <w:rsid w:val="00CA6E80"/>
    <w:rsid w:val="00CC1506"/>
    <w:rsid w:val="00CC29CE"/>
    <w:rsid w:val="00CC5AA0"/>
    <w:rsid w:val="00CD71B2"/>
    <w:rsid w:val="00CE6A52"/>
    <w:rsid w:val="00CE74E1"/>
    <w:rsid w:val="00CF27B5"/>
    <w:rsid w:val="00CF6AAB"/>
    <w:rsid w:val="00D06BED"/>
    <w:rsid w:val="00D2492F"/>
    <w:rsid w:val="00D47D3F"/>
    <w:rsid w:val="00D74072"/>
    <w:rsid w:val="00D77EB7"/>
    <w:rsid w:val="00D809F4"/>
    <w:rsid w:val="00D94BFF"/>
    <w:rsid w:val="00DB1992"/>
    <w:rsid w:val="00DC5ED0"/>
    <w:rsid w:val="00DD1678"/>
    <w:rsid w:val="00DD235D"/>
    <w:rsid w:val="00DE3C76"/>
    <w:rsid w:val="00DF17F6"/>
    <w:rsid w:val="00DF3E45"/>
    <w:rsid w:val="00E05FA8"/>
    <w:rsid w:val="00E06A8A"/>
    <w:rsid w:val="00E1053A"/>
    <w:rsid w:val="00E10E97"/>
    <w:rsid w:val="00E206B5"/>
    <w:rsid w:val="00E20A07"/>
    <w:rsid w:val="00E20CF6"/>
    <w:rsid w:val="00E21A77"/>
    <w:rsid w:val="00E42CE5"/>
    <w:rsid w:val="00E634B6"/>
    <w:rsid w:val="00E634D6"/>
    <w:rsid w:val="00E72341"/>
    <w:rsid w:val="00E84099"/>
    <w:rsid w:val="00EA7FD1"/>
    <w:rsid w:val="00EB1282"/>
    <w:rsid w:val="00EB7060"/>
    <w:rsid w:val="00ED212E"/>
    <w:rsid w:val="00ED7606"/>
    <w:rsid w:val="00EF22DE"/>
    <w:rsid w:val="00EF778B"/>
    <w:rsid w:val="00F04215"/>
    <w:rsid w:val="00F10C06"/>
    <w:rsid w:val="00F10EB0"/>
    <w:rsid w:val="00F143CA"/>
    <w:rsid w:val="00F34016"/>
    <w:rsid w:val="00F40075"/>
    <w:rsid w:val="00F4392A"/>
    <w:rsid w:val="00F47325"/>
    <w:rsid w:val="00F5087F"/>
    <w:rsid w:val="00F75A65"/>
    <w:rsid w:val="00F821B9"/>
    <w:rsid w:val="00F85184"/>
    <w:rsid w:val="00F965A3"/>
    <w:rsid w:val="00FB50B8"/>
    <w:rsid w:val="00FC3441"/>
    <w:rsid w:val="00FC70B7"/>
    <w:rsid w:val="00FF0275"/>
    <w:rsid w:val="00FF2D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5:docId w15:val="{B4298B7E-459F-40F2-A9F0-A8775BC3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ABA"/>
  </w:style>
  <w:style w:type="paragraph" w:styleId="Heading6">
    <w:name w:val="heading 6"/>
    <w:basedOn w:val="Normal"/>
    <w:next w:val="Normal"/>
    <w:link w:val="Heading6Char"/>
    <w:uiPriority w:val="1"/>
    <w:qFormat/>
    <w:rsid w:val="00065ABA"/>
    <w:pPr>
      <w:widowControl w:val="0"/>
      <w:autoSpaceDE w:val="0"/>
      <w:autoSpaceDN w:val="0"/>
      <w:adjustRightInd w:val="0"/>
      <w:spacing w:after="0" w:line="240" w:lineRule="auto"/>
      <w:ind w:left="662"/>
      <w:outlineLvl w:val="5"/>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065ABA"/>
    <w:rPr>
      <w:rFonts w:ascii="Times New Roman" w:eastAsiaTheme="minorEastAsia" w:hAnsi="Times New Roman" w:cs="Times New Roman"/>
      <w:b/>
      <w:bCs/>
      <w:sz w:val="24"/>
      <w:szCs w:val="24"/>
    </w:rPr>
  </w:style>
  <w:style w:type="paragraph" w:customStyle="1" w:styleId="Default">
    <w:name w:val="Default"/>
    <w:rsid w:val="00065ABA"/>
    <w:pPr>
      <w:spacing w:after="0" w:line="240" w:lineRule="auto"/>
    </w:pPr>
    <w:rPr>
      <w:rFonts w:ascii="Garamond-Bold" w:eastAsia="Times New Roman" w:hAnsi="Garamond-Bold" w:cs="Times New Roman"/>
      <w:sz w:val="20"/>
      <w:szCs w:val="20"/>
      <w:lang w:val="en-GB"/>
    </w:rPr>
  </w:style>
  <w:style w:type="paragraph" w:styleId="BodyText">
    <w:name w:val="Body Text"/>
    <w:basedOn w:val="Normal"/>
    <w:link w:val="BodyTextChar"/>
    <w:uiPriority w:val="1"/>
    <w:qFormat/>
    <w:rsid w:val="00065ABA"/>
    <w:pPr>
      <w:widowControl w:val="0"/>
      <w:autoSpaceDE w:val="0"/>
      <w:autoSpaceDN w:val="0"/>
      <w:adjustRightInd w:val="0"/>
      <w:spacing w:after="0" w:line="240" w:lineRule="auto"/>
      <w:ind w:left="1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065ABA"/>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65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ABA"/>
  </w:style>
  <w:style w:type="paragraph" w:styleId="Footer">
    <w:name w:val="footer"/>
    <w:basedOn w:val="Normal"/>
    <w:link w:val="FooterChar"/>
    <w:uiPriority w:val="99"/>
    <w:unhideWhenUsed/>
    <w:rsid w:val="00065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ABA"/>
  </w:style>
  <w:style w:type="paragraph" w:styleId="ListParagraph">
    <w:name w:val="List Paragraph"/>
    <w:basedOn w:val="Normal"/>
    <w:uiPriority w:val="34"/>
    <w:qFormat/>
    <w:rsid w:val="005B6268"/>
    <w:pPr>
      <w:ind w:left="720"/>
      <w:contextualSpacing/>
    </w:pPr>
  </w:style>
  <w:style w:type="character" w:styleId="Hyperlink">
    <w:name w:val="Hyperlink"/>
    <w:basedOn w:val="DefaultParagraphFont"/>
    <w:uiPriority w:val="99"/>
    <w:unhideWhenUsed/>
    <w:rsid w:val="005A4067"/>
    <w:rPr>
      <w:color w:val="0000FF" w:themeColor="hyperlink"/>
      <w:u w:val="single"/>
    </w:rPr>
  </w:style>
  <w:style w:type="character" w:styleId="FollowedHyperlink">
    <w:name w:val="FollowedHyperlink"/>
    <w:basedOn w:val="DefaultParagraphFont"/>
    <w:uiPriority w:val="99"/>
    <w:semiHidden/>
    <w:unhideWhenUsed/>
    <w:rsid w:val="005A4067"/>
    <w:rPr>
      <w:color w:val="800080" w:themeColor="followedHyperlink"/>
      <w:u w:val="single"/>
    </w:rPr>
  </w:style>
  <w:style w:type="paragraph" w:styleId="BalloonText">
    <w:name w:val="Balloon Text"/>
    <w:basedOn w:val="Normal"/>
    <w:link w:val="BalloonTextChar"/>
    <w:uiPriority w:val="99"/>
    <w:semiHidden/>
    <w:unhideWhenUsed/>
    <w:rsid w:val="00E2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30_Appendix_IV.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28_Appendix_IIIB.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27_Appendix_IIIA.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_001_Contents.doc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_001_Cont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CFE9BE9245A419307CC254DCA6723" ma:contentTypeVersion="1" ma:contentTypeDescription="Create a new document." ma:contentTypeScope="" ma:versionID="ce9191876a900d6f00854ec14d5ef3f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3510B-2BAB-4CDC-9C7B-3E6383D0D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79E3D-954B-4CB3-81BC-59180DBF883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E5ED3CAF-1E46-4FE6-96B3-616C59B7A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NAB</dc:creator>
  <cp:lastModifiedBy>Administrator</cp:lastModifiedBy>
  <cp:revision>68</cp:revision>
  <cp:lastPrinted>2018-02-26T14:47:00Z</cp:lastPrinted>
  <dcterms:created xsi:type="dcterms:W3CDTF">2015-08-01T10:06:00Z</dcterms:created>
  <dcterms:modified xsi:type="dcterms:W3CDTF">2018-03-26T05:10:00Z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0x010100182CFE9BE9245A419307CC254DCA6723</vt:lpwstr>
  </property>
  <property fmtid="{D5CDD505-2E9C-101B-9397-08002B2CF9AE}" pid="3" name="Order">
    <vt:r8>37100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ies>
</file>