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88" w:rsidRPr="00DC4C88" w:rsidRDefault="005D6724" w:rsidP="00DC4C88">
      <w:pPr>
        <w:tabs>
          <w:tab w:val="left" w:pos="709"/>
        </w:tabs>
        <w:spacing w:after="0" w:line="240" w:lineRule="auto"/>
        <w:jc w:val="both"/>
        <w:rPr>
          <w:rFonts w:eastAsia="Calibri" w:cs="Times New Roman"/>
          <w:b/>
          <w:szCs w:val="24"/>
        </w:rPr>
      </w:pPr>
      <w:r>
        <w:rPr>
          <w:rFonts w:eastAsia="Calibri" w:cs="Times New Roman"/>
          <w:b/>
          <w:noProof/>
          <w:szCs w:val="24"/>
          <w:lang w:val="en-GB" w:eastAsia="en-GB"/>
        </w:rPr>
        <w:pict w14:anchorId="7D7806D1">
          <v:shapetype id="_x0000_t202" coordsize="21600,21600" o:spt="202" path="m,l,21600r21600,l21600,xe">
            <v:stroke joinstyle="miter"/>
            <v:path gradientshapeok="t" o:connecttype="rect"/>
          </v:shapetype>
          <v:shape id="Text Box 2" o:spid="_x0000_s1026" type="#_x0000_t202" style="position:absolute;left:0;text-align:left;margin-left:384.75pt;margin-top:-96pt;width:105.35pt;height:22.5pt;z-index:251658240;visibility:visible;mso-wrap-distance-top:3.6pt;mso-wrap-distance-bottom:3.6pt;mso-width-relative:margin;mso-height-relative:margin" stroked="f">
            <v:textbox>
              <w:txbxContent>
                <w:p w:rsidR="00BF6C37" w:rsidRPr="009F119E" w:rsidRDefault="005D6724" w:rsidP="00BF6C37">
                  <w:pPr>
                    <w:jc w:val="center"/>
                    <w:rPr>
                      <w:color w:val="7030A0"/>
                      <w:u w:val="single"/>
                    </w:rPr>
                  </w:pPr>
                  <w:hyperlink r:id="rId7" w:history="1">
                    <w:r w:rsidR="00BF6C37" w:rsidRPr="009F119E">
                      <w:rPr>
                        <w:rStyle w:val="Hyperlink"/>
                      </w:rPr>
                      <w:t>Back to Co</w:t>
                    </w:r>
                    <w:bookmarkStart w:id="0" w:name="_GoBack"/>
                    <w:r w:rsidR="00BF6C37" w:rsidRPr="009F119E">
                      <w:rPr>
                        <w:rStyle w:val="Hyperlink"/>
                      </w:rPr>
                      <w:t>n</w:t>
                    </w:r>
                    <w:bookmarkEnd w:id="0"/>
                    <w:r w:rsidR="00BF6C37" w:rsidRPr="009F119E">
                      <w:rPr>
                        <w:rStyle w:val="Hyperlink"/>
                      </w:rPr>
                      <w:t>tents</w:t>
                    </w:r>
                  </w:hyperlink>
                </w:p>
              </w:txbxContent>
            </v:textbox>
            <w10:wrap type="square"/>
          </v:shape>
        </w:pict>
      </w:r>
    </w:p>
    <w:p w:rsidR="00DC4C88" w:rsidRPr="00DC4C88" w:rsidRDefault="0076110C" w:rsidP="00DC4C88">
      <w:pPr>
        <w:tabs>
          <w:tab w:val="left" w:pos="709"/>
        </w:tabs>
        <w:spacing w:after="0" w:line="240" w:lineRule="auto"/>
        <w:jc w:val="both"/>
        <w:rPr>
          <w:rFonts w:eastAsia="Calibri" w:cs="Times New Roman"/>
          <w:b/>
          <w:szCs w:val="24"/>
        </w:rPr>
      </w:pPr>
      <w:r>
        <w:rPr>
          <w:rFonts w:eastAsia="Calibri" w:cs="Times New Roman"/>
          <w:b/>
          <w:szCs w:val="24"/>
        </w:rPr>
        <w:t>21.1</w:t>
      </w:r>
      <w:r w:rsidR="00DC4C88" w:rsidRPr="00DC4C88">
        <w:rPr>
          <w:rFonts w:eastAsia="Calibri" w:cs="Times New Roman"/>
          <w:b/>
          <w:szCs w:val="24"/>
        </w:rPr>
        <w:tab/>
        <w:t xml:space="preserve">Lease of Factory Space for Storage Purposes </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DC4C88">
      <w:pPr>
        <w:tabs>
          <w:tab w:val="left" w:pos="709"/>
        </w:tabs>
        <w:spacing w:after="0" w:line="240" w:lineRule="auto"/>
        <w:jc w:val="both"/>
        <w:rPr>
          <w:rFonts w:eastAsia="Calibri" w:cs="Times New Roman"/>
          <w:szCs w:val="24"/>
        </w:rPr>
      </w:pPr>
      <w:r w:rsidRPr="00DC4C88">
        <w:rPr>
          <w:rFonts w:eastAsia="Calibri" w:cs="Times New Roman"/>
          <w:szCs w:val="24"/>
        </w:rPr>
        <w:t>A factory space of 11,177ft</w:t>
      </w:r>
      <w:r w:rsidRPr="00DC4C88">
        <w:rPr>
          <w:rFonts w:eastAsia="Calibri" w:cs="Times New Roman"/>
          <w:szCs w:val="24"/>
          <w:vertAlign w:val="superscript"/>
        </w:rPr>
        <w:t>2</w:t>
      </w:r>
      <w:r w:rsidRPr="00DC4C88">
        <w:rPr>
          <w:rFonts w:eastAsia="Calibri" w:cs="Times New Roman"/>
          <w:szCs w:val="24"/>
        </w:rPr>
        <w:t xml:space="preserve"> owned by a company at </w:t>
      </w:r>
      <w:r w:rsidR="00750951">
        <w:rPr>
          <w:rFonts w:eastAsia="Calibri" w:cs="Times New Roman"/>
          <w:szCs w:val="24"/>
        </w:rPr>
        <w:t xml:space="preserve">the </w:t>
      </w:r>
      <w:proofErr w:type="spellStart"/>
      <w:r w:rsidRPr="00DC4C88">
        <w:rPr>
          <w:rFonts w:eastAsia="Calibri" w:cs="Times New Roman"/>
          <w:szCs w:val="24"/>
        </w:rPr>
        <w:t>Plaine</w:t>
      </w:r>
      <w:proofErr w:type="spellEnd"/>
      <w:r w:rsidRPr="00DC4C88">
        <w:rPr>
          <w:rFonts w:eastAsia="Calibri" w:cs="Times New Roman"/>
          <w:szCs w:val="24"/>
        </w:rPr>
        <w:t xml:space="preserve"> </w:t>
      </w:r>
      <w:proofErr w:type="spellStart"/>
      <w:r w:rsidRPr="00DC4C88">
        <w:rPr>
          <w:rFonts w:eastAsia="Calibri" w:cs="Times New Roman"/>
          <w:szCs w:val="24"/>
        </w:rPr>
        <w:t>Lauzun</w:t>
      </w:r>
      <w:proofErr w:type="spellEnd"/>
      <w:r w:rsidRPr="00DC4C88">
        <w:rPr>
          <w:rFonts w:eastAsia="Calibri" w:cs="Times New Roman"/>
          <w:szCs w:val="24"/>
        </w:rPr>
        <w:t xml:space="preserve"> Industrial Estate was being leased by the Ministry since 1 June 2016 to store compost bins purchased under the Composting Scheme. The lease</w:t>
      </w:r>
      <w:r w:rsidR="00750951">
        <w:rPr>
          <w:rFonts w:eastAsia="Calibri" w:cs="Times New Roman"/>
          <w:szCs w:val="24"/>
        </w:rPr>
        <w:t>,</w:t>
      </w:r>
      <w:r w:rsidRPr="00DC4C88">
        <w:rPr>
          <w:rFonts w:eastAsia="Calibri" w:cs="Times New Roman"/>
          <w:szCs w:val="24"/>
        </w:rPr>
        <w:t xml:space="preserve"> which was for an initial duration of four months</w:t>
      </w:r>
      <w:r w:rsidR="00750951">
        <w:rPr>
          <w:rFonts w:eastAsia="Calibri" w:cs="Times New Roman"/>
          <w:szCs w:val="24"/>
        </w:rPr>
        <w:t>,</w:t>
      </w:r>
      <w:r w:rsidRPr="00DC4C88">
        <w:rPr>
          <w:rFonts w:eastAsia="Calibri" w:cs="Times New Roman"/>
          <w:szCs w:val="24"/>
        </w:rPr>
        <w:t xml:space="preserve"> was renewed up to 31 August 2017. However, as of November 2017 according to the Ministry’s records, 9,316 compost bins and 9,360 compost mixing tools were still stored in that factory space.</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DC4C88">
      <w:pPr>
        <w:tabs>
          <w:tab w:val="left" w:pos="709"/>
        </w:tabs>
        <w:spacing w:after="0" w:line="240" w:lineRule="auto"/>
        <w:jc w:val="both"/>
        <w:rPr>
          <w:rFonts w:eastAsia="Calibri" w:cs="Times New Roman"/>
          <w:szCs w:val="24"/>
        </w:rPr>
      </w:pPr>
      <w:r w:rsidRPr="00DC4C88">
        <w:rPr>
          <w:rFonts w:eastAsia="Calibri" w:cs="Times New Roman"/>
          <w:szCs w:val="24"/>
        </w:rPr>
        <w:t>A monthly rent of Rs 55,885 and service charge of Rs 11,177 were to be paid by the Ministry under the lease. For the four months duration, the rent a</w:t>
      </w:r>
      <w:r w:rsidR="0076110C">
        <w:rPr>
          <w:rFonts w:eastAsia="Calibri" w:cs="Times New Roman"/>
          <w:szCs w:val="24"/>
        </w:rPr>
        <w:t xml:space="preserve">nd service charge amounting to </w:t>
      </w:r>
      <w:r w:rsidRPr="00DC4C88">
        <w:rPr>
          <w:rFonts w:eastAsia="Calibri" w:cs="Times New Roman"/>
          <w:szCs w:val="24"/>
        </w:rPr>
        <w:t>Rs 223,540 and Rs 44,708 respectively payable in advance were settled on 9 June 2016.</w:t>
      </w:r>
    </w:p>
    <w:p w:rsidR="00DC4C88" w:rsidRPr="00DC4C88" w:rsidRDefault="00DC4C88" w:rsidP="00DC4C88">
      <w:pPr>
        <w:tabs>
          <w:tab w:val="left" w:pos="709"/>
        </w:tabs>
        <w:spacing w:after="0" w:line="240" w:lineRule="auto"/>
        <w:jc w:val="both"/>
        <w:rPr>
          <w:rFonts w:eastAsia="Calibri" w:cs="Times New Roman"/>
          <w:b/>
          <w:i/>
          <w:szCs w:val="24"/>
        </w:rPr>
      </w:pPr>
    </w:p>
    <w:p w:rsidR="00DC4C88" w:rsidRPr="00DC4C88" w:rsidRDefault="0076110C" w:rsidP="00DC4C88">
      <w:pPr>
        <w:tabs>
          <w:tab w:val="left" w:pos="709"/>
        </w:tabs>
        <w:spacing w:after="0" w:line="240" w:lineRule="auto"/>
        <w:jc w:val="both"/>
        <w:rPr>
          <w:rFonts w:eastAsia="Calibri" w:cs="Times New Roman"/>
          <w:b/>
          <w:i/>
          <w:szCs w:val="24"/>
        </w:rPr>
      </w:pPr>
      <w:r>
        <w:rPr>
          <w:rFonts w:eastAsia="Calibri" w:cs="Times New Roman"/>
          <w:b/>
          <w:i/>
          <w:szCs w:val="24"/>
        </w:rPr>
        <w:t>21.1</w:t>
      </w:r>
      <w:r w:rsidR="00DC4C88" w:rsidRPr="00DC4C88">
        <w:rPr>
          <w:rFonts w:eastAsia="Calibri" w:cs="Times New Roman"/>
          <w:b/>
          <w:i/>
          <w:szCs w:val="24"/>
        </w:rPr>
        <w:t>.1</w:t>
      </w:r>
      <w:r w:rsidR="00DC4C88" w:rsidRPr="00DC4C88">
        <w:rPr>
          <w:rFonts w:eastAsia="Calibri" w:cs="Times New Roman"/>
          <w:b/>
          <w:i/>
          <w:szCs w:val="24"/>
        </w:rPr>
        <w:tab/>
        <w:t>Absence of Legally Vetted Lease Agreements</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DC4C88">
      <w:pPr>
        <w:tabs>
          <w:tab w:val="left" w:pos="709"/>
        </w:tabs>
        <w:spacing w:after="0" w:line="240" w:lineRule="auto"/>
        <w:jc w:val="both"/>
        <w:rPr>
          <w:rFonts w:eastAsia="Calibri" w:cs="Times New Roman"/>
          <w:szCs w:val="24"/>
        </w:rPr>
      </w:pPr>
      <w:r w:rsidRPr="00DC4C88">
        <w:rPr>
          <w:rFonts w:eastAsia="Calibri" w:cs="Times New Roman"/>
          <w:szCs w:val="24"/>
        </w:rPr>
        <w:t>Lease agreements needed to be formally drawn and legally vetted to safeguard Government interest.</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DC4C88">
      <w:pPr>
        <w:tabs>
          <w:tab w:val="left" w:pos="709"/>
        </w:tabs>
        <w:spacing w:after="0" w:line="240" w:lineRule="auto"/>
        <w:jc w:val="both"/>
        <w:rPr>
          <w:rFonts w:eastAsia="Calibri" w:cs="Times New Roman"/>
          <w:szCs w:val="24"/>
        </w:rPr>
      </w:pPr>
      <w:r w:rsidRPr="00DC4C88">
        <w:rPr>
          <w:rFonts w:eastAsia="Calibri" w:cs="Times New Roman"/>
          <w:szCs w:val="24"/>
        </w:rPr>
        <w:t>The following were noted:</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76110C">
      <w:pPr>
        <w:numPr>
          <w:ilvl w:val="0"/>
          <w:numId w:val="1"/>
        </w:numPr>
        <w:tabs>
          <w:tab w:val="left" w:pos="360"/>
        </w:tabs>
        <w:spacing w:after="0" w:line="240" w:lineRule="auto"/>
        <w:ind w:left="360"/>
        <w:contextualSpacing/>
        <w:jc w:val="both"/>
        <w:rPr>
          <w:rFonts w:eastAsia="Calibri" w:cs="Times New Roman"/>
          <w:szCs w:val="24"/>
        </w:rPr>
      </w:pPr>
      <w:r w:rsidRPr="00DC4C88">
        <w:rPr>
          <w:rFonts w:eastAsia="Calibri" w:cs="Times New Roman"/>
          <w:szCs w:val="24"/>
        </w:rPr>
        <w:t>Lease agreement</w:t>
      </w:r>
      <w:r w:rsidR="00750951">
        <w:rPr>
          <w:rFonts w:eastAsia="Calibri" w:cs="Times New Roman"/>
          <w:szCs w:val="24"/>
        </w:rPr>
        <w:t>, for the initial four-month</w:t>
      </w:r>
      <w:r w:rsidRPr="00DC4C88">
        <w:rPr>
          <w:rFonts w:eastAsia="Calibri" w:cs="Times New Roman"/>
          <w:szCs w:val="24"/>
        </w:rPr>
        <w:t xml:space="preserve"> duration</w:t>
      </w:r>
      <w:r w:rsidR="00750951">
        <w:rPr>
          <w:rFonts w:eastAsia="Calibri" w:cs="Times New Roman"/>
          <w:szCs w:val="24"/>
        </w:rPr>
        <w:t>,</w:t>
      </w:r>
      <w:r w:rsidRPr="00DC4C88">
        <w:rPr>
          <w:rFonts w:eastAsia="Calibri" w:cs="Times New Roman"/>
          <w:szCs w:val="24"/>
        </w:rPr>
        <w:t xml:space="preserve"> was not vetted by the Ministry’s Legal Adviser;</w:t>
      </w:r>
    </w:p>
    <w:p w:rsidR="00DC4C88" w:rsidRPr="00DC4C88" w:rsidRDefault="00DC4C88" w:rsidP="0076110C">
      <w:pPr>
        <w:tabs>
          <w:tab w:val="left" w:pos="360"/>
        </w:tabs>
        <w:spacing w:after="0" w:line="240" w:lineRule="auto"/>
        <w:ind w:left="360" w:hanging="360"/>
        <w:contextualSpacing/>
        <w:jc w:val="both"/>
        <w:rPr>
          <w:rFonts w:eastAsia="Calibri" w:cs="Times New Roman"/>
          <w:szCs w:val="24"/>
        </w:rPr>
      </w:pPr>
    </w:p>
    <w:p w:rsidR="00DC4C88" w:rsidRPr="00DC4C88" w:rsidRDefault="00DC4C88" w:rsidP="0076110C">
      <w:pPr>
        <w:numPr>
          <w:ilvl w:val="0"/>
          <w:numId w:val="1"/>
        </w:numPr>
        <w:tabs>
          <w:tab w:val="left" w:pos="360"/>
        </w:tabs>
        <w:spacing w:after="0" w:line="240" w:lineRule="auto"/>
        <w:ind w:left="360"/>
        <w:contextualSpacing/>
        <w:jc w:val="both"/>
        <w:rPr>
          <w:rFonts w:eastAsia="Calibri" w:cs="Times New Roman"/>
          <w:szCs w:val="24"/>
        </w:rPr>
      </w:pPr>
      <w:r w:rsidRPr="00DC4C88">
        <w:rPr>
          <w:rFonts w:eastAsia="Calibri" w:cs="Times New Roman"/>
          <w:szCs w:val="24"/>
        </w:rPr>
        <w:t>A lease agreement</w:t>
      </w:r>
      <w:r w:rsidR="00EA66A3">
        <w:rPr>
          <w:rFonts w:eastAsia="Calibri" w:cs="Times New Roman"/>
          <w:szCs w:val="24"/>
        </w:rPr>
        <w:t>,</w:t>
      </w:r>
      <w:r w:rsidRPr="00DC4C88">
        <w:rPr>
          <w:rFonts w:eastAsia="Calibri" w:cs="Times New Roman"/>
          <w:szCs w:val="24"/>
        </w:rPr>
        <w:t xml:space="preserve"> for the subsequent period 1 October 2016 to 31 August 2017</w:t>
      </w:r>
      <w:r w:rsidR="00750951">
        <w:rPr>
          <w:rFonts w:eastAsia="Calibri" w:cs="Times New Roman"/>
          <w:szCs w:val="24"/>
        </w:rPr>
        <w:t>,</w:t>
      </w:r>
      <w:r w:rsidRPr="00DC4C88">
        <w:rPr>
          <w:rFonts w:eastAsia="Calibri" w:cs="Times New Roman"/>
          <w:szCs w:val="24"/>
        </w:rPr>
        <w:t xml:space="preserve"> was formally drawn.</w:t>
      </w:r>
      <w:r w:rsidR="00750951">
        <w:rPr>
          <w:rFonts w:eastAsia="Calibri" w:cs="Times New Roman"/>
          <w:szCs w:val="24"/>
        </w:rPr>
        <w:t xml:space="preserve"> However, it</w:t>
      </w:r>
      <w:r w:rsidRPr="00DC4C88">
        <w:rPr>
          <w:rFonts w:eastAsia="Calibri" w:cs="Times New Roman"/>
          <w:szCs w:val="24"/>
        </w:rPr>
        <w:t xml:space="preserve"> was referred by the Ministry for legal vetting on 1 June 2017. The Ministry was given to understand</w:t>
      </w:r>
      <w:r w:rsidR="00750951">
        <w:rPr>
          <w:rFonts w:eastAsia="Calibri" w:cs="Times New Roman"/>
          <w:szCs w:val="24"/>
        </w:rPr>
        <w:t>,</w:t>
      </w:r>
      <w:r w:rsidRPr="00DC4C88">
        <w:rPr>
          <w:rFonts w:eastAsia="Calibri" w:cs="Times New Roman"/>
          <w:szCs w:val="24"/>
        </w:rPr>
        <w:t xml:space="preserve"> by its Legal Adviser</w:t>
      </w:r>
      <w:r w:rsidR="00750951">
        <w:rPr>
          <w:rFonts w:eastAsia="Calibri" w:cs="Times New Roman"/>
          <w:szCs w:val="24"/>
        </w:rPr>
        <w:t>,</w:t>
      </w:r>
      <w:r w:rsidRPr="00DC4C88">
        <w:rPr>
          <w:rFonts w:eastAsia="Calibri" w:cs="Times New Roman"/>
          <w:szCs w:val="24"/>
        </w:rPr>
        <w:t xml:space="preserve"> that legal vetting at that stage would not be in order.</w:t>
      </w:r>
    </w:p>
    <w:p w:rsidR="00DC4C88" w:rsidRPr="00DC4C88" w:rsidRDefault="00DC4C88" w:rsidP="0076110C">
      <w:pPr>
        <w:tabs>
          <w:tab w:val="left" w:pos="360"/>
        </w:tabs>
        <w:spacing w:after="0" w:line="240" w:lineRule="auto"/>
        <w:ind w:left="360" w:hanging="360"/>
        <w:contextualSpacing/>
        <w:rPr>
          <w:rFonts w:eastAsia="Calibri" w:cs="Times New Roman"/>
          <w:szCs w:val="24"/>
        </w:rPr>
      </w:pPr>
    </w:p>
    <w:p w:rsidR="00DC4C88" w:rsidRPr="00DC4C88" w:rsidRDefault="0076110C" w:rsidP="0076110C">
      <w:pPr>
        <w:tabs>
          <w:tab w:val="left" w:pos="360"/>
        </w:tabs>
        <w:spacing w:after="0" w:line="240" w:lineRule="auto"/>
        <w:ind w:left="360" w:hanging="360"/>
        <w:contextualSpacing/>
        <w:jc w:val="both"/>
        <w:rPr>
          <w:rFonts w:eastAsia="Calibri" w:cs="Times New Roman"/>
          <w:szCs w:val="24"/>
        </w:rPr>
      </w:pPr>
      <w:r>
        <w:rPr>
          <w:rFonts w:eastAsia="Calibri" w:cs="Times New Roman"/>
          <w:szCs w:val="24"/>
        </w:rPr>
        <w:tab/>
      </w:r>
      <w:r w:rsidR="00DC4C88" w:rsidRPr="00DC4C88">
        <w:rPr>
          <w:rFonts w:eastAsia="Calibri" w:cs="Times New Roman"/>
          <w:szCs w:val="24"/>
        </w:rPr>
        <w:t xml:space="preserve">That lease agreement was therefore signed on 15 June 2017, that is, nearing the end of the second lease period and without it having been legally vetted; </w:t>
      </w:r>
    </w:p>
    <w:p w:rsidR="00DC4C88" w:rsidRPr="00DC4C88" w:rsidRDefault="00DC4C88" w:rsidP="0076110C">
      <w:pPr>
        <w:tabs>
          <w:tab w:val="left" w:pos="360"/>
        </w:tabs>
        <w:spacing w:after="0" w:line="240" w:lineRule="auto"/>
        <w:ind w:left="360" w:hanging="360"/>
        <w:contextualSpacing/>
        <w:jc w:val="both"/>
        <w:rPr>
          <w:rFonts w:eastAsia="Calibri" w:cs="Times New Roman"/>
          <w:szCs w:val="24"/>
        </w:rPr>
      </w:pPr>
    </w:p>
    <w:p w:rsidR="00DC4C88" w:rsidRPr="00DC4C88" w:rsidRDefault="00DC4C88" w:rsidP="0076110C">
      <w:pPr>
        <w:numPr>
          <w:ilvl w:val="0"/>
          <w:numId w:val="1"/>
        </w:numPr>
        <w:tabs>
          <w:tab w:val="left" w:pos="360"/>
        </w:tabs>
        <w:spacing w:after="0" w:line="240" w:lineRule="auto"/>
        <w:ind w:left="360"/>
        <w:contextualSpacing/>
        <w:jc w:val="both"/>
        <w:rPr>
          <w:rFonts w:eastAsia="Calibri" w:cs="Times New Roman"/>
          <w:szCs w:val="24"/>
        </w:rPr>
      </w:pPr>
      <w:r w:rsidRPr="00DC4C88">
        <w:rPr>
          <w:rFonts w:eastAsia="Calibri" w:cs="Times New Roman"/>
          <w:szCs w:val="24"/>
        </w:rPr>
        <w:t>There was no lease agreement after expiry of the second lease period on 31 August 2017</w:t>
      </w:r>
      <w:r w:rsidR="00EA66A3">
        <w:rPr>
          <w:rFonts w:eastAsia="Calibri" w:cs="Times New Roman"/>
          <w:szCs w:val="24"/>
        </w:rPr>
        <w:t>,</w:t>
      </w:r>
      <w:r w:rsidRPr="00DC4C88">
        <w:rPr>
          <w:rFonts w:eastAsia="Calibri" w:cs="Times New Roman"/>
          <w:szCs w:val="24"/>
        </w:rPr>
        <w:t xml:space="preserve"> although the compost bins were still held in store in that factory space.</w:t>
      </w:r>
    </w:p>
    <w:p w:rsidR="00DC4C88" w:rsidRPr="00DC4C88" w:rsidRDefault="00DC4C88" w:rsidP="00DC4C88">
      <w:pPr>
        <w:tabs>
          <w:tab w:val="left" w:pos="709"/>
        </w:tabs>
        <w:spacing w:after="0" w:line="240" w:lineRule="auto"/>
        <w:jc w:val="both"/>
        <w:rPr>
          <w:rFonts w:eastAsia="Calibri" w:cs="Times New Roman"/>
          <w:szCs w:val="24"/>
        </w:rPr>
      </w:pPr>
    </w:p>
    <w:p w:rsidR="00DC4C88" w:rsidRPr="00DC4C88" w:rsidRDefault="00DC4C88" w:rsidP="00DC4C88">
      <w:pPr>
        <w:tabs>
          <w:tab w:val="left" w:pos="709"/>
        </w:tabs>
        <w:spacing w:after="0" w:line="240" w:lineRule="auto"/>
        <w:jc w:val="both"/>
        <w:rPr>
          <w:rFonts w:eastAsia="Calibri" w:cs="Times New Roman"/>
          <w:szCs w:val="24"/>
        </w:rPr>
      </w:pPr>
      <w:r w:rsidRPr="00DC4C88">
        <w:rPr>
          <w:rFonts w:eastAsia="Calibri" w:cs="Times New Roman"/>
          <w:szCs w:val="24"/>
        </w:rPr>
        <w:t>In the absence of legal vetting of the leases, the interest of Government might not have been safeguarded.</w:t>
      </w:r>
    </w:p>
    <w:p w:rsidR="00DC4C88" w:rsidRDefault="00DC4C88" w:rsidP="00DC4C88">
      <w:pPr>
        <w:tabs>
          <w:tab w:val="left" w:pos="709"/>
        </w:tabs>
        <w:spacing w:after="0" w:line="240" w:lineRule="auto"/>
        <w:jc w:val="both"/>
        <w:rPr>
          <w:rFonts w:eastAsia="Calibri" w:cs="Times New Roman"/>
          <w:szCs w:val="24"/>
        </w:rPr>
      </w:pPr>
    </w:p>
    <w:p w:rsidR="006C0AC7" w:rsidRPr="006C0AC7" w:rsidRDefault="006C0AC7" w:rsidP="00DC4C88">
      <w:pPr>
        <w:tabs>
          <w:tab w:val="left" w:pos="709"/>
        </w:tabs>
        <w:spacing w:after="0" w:line="240" w:lineRule="auto"/>
        <w:jc w:val="both"/>
        <w:rPr>
          <w:rFonts w:eastAsia="Calibri" w:cs="Times New Roman"/>
          <w:b/>
          <w:i/>
          <w:szCs w:val="24"/>
        </w:rPr>
      </w:pPr>
      <w:r w:rsidRPr="006C0AC7">
        <w:rPr>
          <w:rFonts w:eastAsia="Calibri" w:cs="Times New Roman"/>
          <w:b/>
          <w:i/>
          <w:szCs w:val="24"/>
        </w:rPr>
        <w:t>Ministry’s Reply</w:t>
      </w:r>
    </w:p>
    <w:p w:rsidR="008A59FD" w:rsidRDefault="008A59FD" w:rsidP="006C0AC7">
      <w:pPr>
        <w:spacing w:after="0" w:line="240" w:lineRule="auto"/>
      </w:pPr>
    </w:p>
    <w:p w:rsidR="00842095" w:rsidRDefault="006C0AC7" w:rsidP="00842095">
      <w:pPr>
        <w:spacing w:after="0" w:line="240" w:lineRule="auto"/>
        <w:jc w:val="both"/>
      </w:pPr>
      <w:r>
        <w:t>Arrangements are being made for the distri</w:t>
      </w:r>
      <w:r w:rsidR="00F0509C">
        <w:t>bution of the compost bins and the</w:t>
      </w:r>
      <w:r>
        <w:t xml:space="preserve"> storage space at the </w:t>
      </w:r>
      <w:proofErr w:type="spellStart"/>
      <w:r>
        <w:t>Plaine</w:t>
      </w:r>
      <w:proofErr w:type="spellEnd"/>
      <w:r>
        <w:t xml:space="preserve"> </w:t>
      </w:r>
      <w:proofErr w:type="spellStart"/>
      <w:r>
        <w:t>Lauzun</w:t>
      </w:r>
      <w:proofErr w:type="spellEnd"/>
      <w:r>
        <w:t xml:space="preserve"> Industrial Estate to be vacated by June 2018.</w:t>
      </w:r>
    </w:p>
    <w:p w:rsidR="00842095" w:rsidRDefault="005D6724">
      <w:r>
        <w:rPr>
          <w:noProof/>
          <w:lang w:val="en-GB" w:eastAsia="en-GB"/>
        </w:rPr>
        <w:pict w14:anchorId="30936C68">
          <v:shape id="_x0000_s1027" type="#_x0000_t202" style="position:absolute;margin-left:390.75pt;margin-top:107.15pt;width:105.35pt;height:22.5pt;z-index:251659264;visibility:visible;mso-wrap-distance-top:3.6pt;mso-wrap-distance-bottom:3.6pt;mso-width-relative:margin;mso-height-relative:margin" stroked="f">
            <v:textbox>
              <w:txbxContent>
                <w:p w:rsidR="00BF6C37" w:rsidRPr="009F119E" w:rsidRDefault="005D6724" w:rsidP="00BF6C37">
                  <w:pPr>
                    <w:jc w:val="center"/>
                    <w:rPr>
                      <w:color w:val="7030A0"/>
                      <w:u w:val="single"/>
                    </w:rPr>
                  </w:pPr>
                  <w:hyperlink r:id="rId8" w:history="1">
                    <w:r w:rsidR="00BF6C37" w:rsidRPr="009F119E">
                      <w:rPr>
                        <w:rStyle w:val="Hyperlink"/>
                      </w:rPr>
                      <w:t>Back to Contents</w:t>
                    </w:r>
                  </w:hyperlink>
                </w:p>
              </w:txbxContent>
            </v:textbox>
            <w10:wrap type="square"/>
          </v:shape>
        </w:pict>
      </w:r>
      <w:r w:rsidR="00842095">
        <w:br w:type="page"/>
      </w:r>
    </w:p>
    <w:sectPr w:rsidR="00842095" w:rsidSect="00E92C76">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00" w:header="720" w:footer="720" w:gutter="0"/>
      <w:pgNumType w:start="2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95" w:rsidRDefault="00842095" w:rsidP="00842095">
      <w:pPr>
        <w:spacing w:after="0" w:line="240" w:lineRule="auto"/>
      </w:pPr>
      <w:r>
        <w:separator/>
      </w:r>
    </w:p>
  </w:endnote>
  <w:endnote w:type="continuationSeparator" w:id="0">
    <w:p w:rsidR="00842095" w:rsidRDefault="00842095" w:rsidP="0084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B" w:rsidRDefault="0072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7506"/>
      <w:docPartObj>
        <w:docPartGallery w:val="Page Numbers (Bottom of Page)"/>
        <w:docPartUnique/>
      </w:docPartObj>
    </w:sdtPr>
    <w:sdtEndPr>
      <w:rPr>
        <w:noProof/>
      </w:rPr>
    </w:sdtEndPr>
    <w:sdtContent>
      <w:p w:rsidR="00842095" w:rsidRDefault="00842095">
        <w:pPr>
          <w:pStyle w:val="Footer"/>
          <w:jc w:val="center"/>
        </w:pPr>
        <w:r>
          <w:fldChar w:fldCharType="begin"/>
        </w:r>
        <w:r>
          <w:instrText xml:space="preserve"> PAGE   \* MERGEFORMAT </w:instrText>
        </w:r>
        <w:r>
          <w:fldChar w:fldCharType="separate"/>
        </w:r>
        <w:r w:rsidR="005D6724">
          <w:rPr>
            <w:noProof/>
          </w:rPr>
          <w:t>280</w:t>
        </w:r>
        <w:r>
          <w:rPr>
            <w:noProof/>
          </w:rPr>
          <w:fldChar w:fldCharType="end"/>
        </w:r>
      </w:p>
    </w:sdtContent>
  </w:sdt>
  <w:p w:rsidR="00817416" w:rsidRPr="00842095" w:rsidRDefault="00842095" w:rsidP="00842095">
    <w:pPr>
      <w:pStyle w:val="Footer"/>
      <w:tabs>
        <w:tab w:val="clear" w:pos="9026"/>
        <w:tab w:val="right" w:pos="8647"/>
      </w:tabs>
      <w:ind w:right="22"/>
      <w:jc w:val="center"/>
      <w:rPr>
        <w:sz w:val="18"/>
        <w:szCs w:val="18"/>
      </w:rPr>
    </w:pPr>
    <w:r w:rsidRPr="00842095">
      <w:rPr>
        <w:smallCaps/>
        <w:sz w:val="18"/>
        <w:szCs w:val="18"/>
      </w:rPr>
      <w:t xml:space="preserve">Ministry of Environment, Sustainable Development and </w:t>
    </w:r>
    <w:r>
      <w:rPr>
        <w:smallCaps/>
        <w:sz w:val="18"/>
        <w:szCs w:val="18"/>
      </w:rPr>
      <w:t>D</w:t>
    </w:r>
    <w:r w:rsidRPr="00842095">
      <w:rPr>
        <w:smallCaps/>
        <w:sz w:val="18"/>
        <w:szCs w:val="18"/>
      </w:rPr>
      <w:t>isaster and Beach Management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93968"/>
      <w:docPartObj>
        <w:docPartGallery w:val="Page Numbers (Bottom of Page)"/>
        <w:docPartUnique/>
      </w:docPartObj>
    </w:sdtPr>
    <w:sdtEndPr>
      <w:rPr>
        <w:noProof/>
      </w:rPr>
    </w:sdtEndPr>
    <w:sdtContent>
      <w:p w:rsidR="00842095" w:rsidRDefault="00842095">
        <w:pPr>
          <w:pStyle w:val="Footer"/>
          <w:jc w:val="center"/>
        </w:pPr>
        <w:r>
          <w:fldChar w:fldCharType="begin"/>
        </w:r>
        <w:r>
          <w:instrText xml:space="preserve"> PAGE   \* MERGEFORMAT </w:instrText>
        </w:r>
        <w:r>
          <w:fldChar w:fldCharType="separate"/>
        </w:r>
        <w:r w:rsidR="005D6724">
          <w:rPr>
            <w:noProof/>
          </w:rPr>
          <w:t>279</w:t>
        </w:r>
        <w:r>
          <w:rPr>
            <w:noProof/>
          </w:rPr>
          <w:fldChar w:fldCharType="end"/>
        </w:r>
      </w:p>
    </w:sdtContent>
  </w:sdt>
  <w:p w:rsidR="00842095" w:rsidRPr="00842095" w:rsidRDefault="00842095" w:rsidP="0084209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95" w:rsidRDefault="00842095" w:rsidP="00842095">
      <w:pPr>
        <w:spacing w:after="0" w:line="240" w:lineRule="auto"/>
      </w:pPr>
      <w:r>
        <w:separator/>
      </w:r>
    </w:p>
  </w:footnote>
  <w:footnote w:type="continuationSeparator" w:id="0">
    <w:p w:rsidR="00842095" w:rsidRDefault="00842095" w:rsidP="0084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B" w:rsidRDefault="00722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B" w:rsidRDefault="00722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5B" w:rsidRDefault="00722F5B" w:rsidP="00722F5B">
    <w:pPr>
      <w:spacing w:after="0" w:line="240" w:lineRule="auto"/>
      <w:jc w:val="center"/>
      <w:rPr>
        <w:b/>
        <w:smallCaps/>
        <w:sz w:val="40"/>
        <w:szCs w:val="40"/>
      </w:rPr>
    </w:pPr>
    <w:r w:rsidRPr="004622C8">
      <w:rPr>
        <w:b/>
        <w:smallCaps/>
        <w:sz w:val="40"/>
        <w:szCs w:val="40"/>
      </w:rPr>
      <w:t>21 – Ministry of Environment,</w:t>
    </w:r>
  </w:p>
  <w:p w:rsidR="00722F5B" w:rsidRDefault="00722F5B" w:rsidP="00722F5B">
    <w:pPr>
      <w:spacing w:after="0" w:line="240" w:lineRule="auto"/>
      <w:jc w:val="center"/>
      <w:rPr>
        <w:b/>
        <w:smallCaps/>
        <w:sz w:val="40"/>
        <w:szCs w:val="40"/>
      </w:rPr>
    </w:pPr>
    <w:r w:rsidRPr="004622C8">
      <w:rPr>
        <w:b/>
        <w:smallCaps/>
        <w:sz w:val="40"/>
        <w:szCs w:val="40"/>
      </w:rPr>
      <w:t>Sustainable Development and Disaster</w:t>
    </w:r>
  </w:p>
  <w:p w:rsidR="00722F5B" w:rsidRDefault="00722F5B" w:rsidP="00722F5B">
    <w:pPr>
      <w:pStyle w:val="Header"/>
      <w:jc w:val="center"/>
    </w:pPr>
    <w:r w:rsidRPr="004622C8">
      <w:rPr>
        <w:b/>
        <w:smallCaps/>
        <w:sz w:val="40"/>
        <w:szCs w:val="40"/>
      </w:rPr>
      <w:t>and Beach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3A7"/>
    <w:multiLevelType w:val="hybridMultilevel"/>
    <w:tmpl w:val="586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91BDD"/>
    <w:rsid w:val="000B494F"/>
    <w:rsid w:val="00170692"/>
    <w:rsid w:val="002F1136"/>
    <w:rsid w:val="00310E0F"/>
    <w:rsid w:val="00325A8E"/>
    <w:rsid w:val="003333C5"/>
    <w:rsid w:val="004170A6"/>
    <w:rsid w:val="00425936"/>
    <w:rsid w:val="004622C8"/>
    <w:rsid w:val="005D6724"/>
    <w:rsid w:val="00650810"/>
    <w:rsid w:val="00695CE0"/>
    <w:rsid w:val="006C0AC7"/>
    <w:rsid w:val="006E69E3"/>
    <w:rsid w:val="00722F5B"/>
    <w:rsid w:val="00750951"/>
    <w:rsid w:val="0076110C"/>
    <w:rsid w:val="00817416"/>
    <w:rsid w:val="00842095"/>
    <w:rsid w:val="00896444"/>
    <w:rsid w:val="008A59FD"/>
    <w:rsid w:val="00934AD6"/>
    <w:rsid w:val="009F58DA"/>
    <w:rsid w:val="009F6E67"/>
    <w:rsid w:val="00A754B9"/>
    <w:rsid w:val="00A91BDD"/>
    <w:rsid w:val="00B36526"/>
    <w:rsid w:val="00B52D94"/>
    <w:rsid w:val="00BE5DAD"/>
    <w:rsid w:val="00BF6C37"/>
    <w:rsid w:val="00C873F1"/>
    <w:rsid w:val="00DC4C88"/>
    <w:rsid w:val="00E2320A"/>
    <w:rsid w:val="00E3491A"/>
    <w:rsid w:val="00E92C76"/>
    <w:rsid w:val="00EA66A3"/>
    <w:rsid w:val="00F0509C"/>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B7FB61-47F4-4563-BCEB-18FCC9C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95"/>
  </w:style>
  <w:style w:type="paragraph" w:styleId="Footer">
    <w:name w:val="footer"/>
    <w:basedOn w:val="Normal"/>
    <w:link w:val="FooterChar"/>
    <w:uiPriority w:val="99"/>
    <w:unhideWhenUsed/>
    <w:rsid w:val="00842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95"/>
  </w:style>
  <w:style w:type="character" w:styleId="Hyperlink">
    <w:name w:val="Hyperlink"/>
    <w:basedOn w:val="DefaultParagraphFont"/>
    <w:uiPriority w:val="99"/>
    <w:unhideWhenUsed/>
    <w:rsid w:val="00BF6C37"/>
    <w:rPr>
      <w:rFonts w:cs="Times New Roman"/>
      <w:color w:val="0000FF" w:themeColor="hyperlink"/>
      <w:u w:val="single"/>
    </w:rPr>
  </w:style>
  <w:style w:type="character" w:styleId="FollowedHyperlink">
    <w:name w:val="FollowedHyperlink"/>
    <w:basedOn w:val="DefaultParagraphFont"/>
    <w:uiPriority w:val="99"/>
    <w:semiHidden/>
    <w:unhideWhenUsed/>
    <w:rsid w:val="005D6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16</cp:revision>
  <dcterms:created xsi:type="dcterms:W3CDTF">2018-02-12T06:40:00Z</dcterms:created>
  <dcterms:modified xsi:type="dcterms:W3CDTF">2018-03-26T05:13:00Z</dcterms:modified>
</cp:coreProperties>
</file>