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02" w:rsidRPr="00A87602" w:rsidRDefault="007E68BD" w:rsidP="00526506">
      <w:pPr>
        <w:spacing w:after="0" w:line="240" w:lineRule="auto"/>
        <w:jc w:val="both"/>
        <w:rPr>
          <w:rFonts w:eastAsia="Calibri" w:cs="Times New Roman"/>
          <w:b/>
          <w:szCs w:val="24"/>
        </w:rPr>
      </w:pPr>
      <w:r>
        <w:rPr>
          <w:rFonts w:eastAsia="Calibri" w:cs="Times New Roman"/>
          <w:b/>
          <w:noProof/>
          <w:szCs w:val="24"/>
          <w:lang w:val="en-GB" w:eastAsia="en-GB"/>
        </w:rPr>
        <w:pict w14:anchorId="6C61CD5B">
          <v:shapetype id="_x0000_t202" coordsize="21600,21600" o:spt="202" path="m,l,21600r21600,l21600,xe">
            <v:stroke joinstyle="miter"/>
            <v:path gradientshapeok="t" o:connecttype="rect"/>
          </v:shapetype>
          <v:shape id="Text Box 2" o:spid="_x0000_s1026" type="#_x0000_t202" style="position:absolute;left:0;text-align:left;margin-left:384.75pt;margin-top:-89.9pt;width:105.35pt;height:22.5pt;z-index:251658240;visibility:visible;mso-wrap-distance-top:3.6pt;mso-wrap-distance-bottom:3.6pt;mso-width-relative:margin;mso-height-relative:margin" stroked="f">
            <v:textbox>
              <w:txbxContent>
                <w:p w:rsidR="00D87556" w:rsidRPr="009F119E" w:rsidRDefault="007E68BD" w:rsidP="00D87556">
                  <w:pPr>
                    <w:jc w:val="center"/>
                    <w:rPr>
                      <w:color w:val="7030A0"/>
                      <w:u w:val="single"/>
                    </w:rPr>
                  </w:pPr>
                  <w:hyperlink r:id="rId7" w:history="1">
                    <w:r w:rsidR="00D87556" w:rsidRPr="009F119E">
                      <w:rPr>
                        <w:rStyle w:val="Hyperlink"/>
                      </w:rPr>
                      <w:t>Back to Conte</w:t>
                    </w:r>
                    <w:bookmarkStart w:id="0" w:name="_GoBack"/>
                    <w:r w:rsidR="00D87556" w:rsidRPr="009F119E">
                      <w:rPr>
                        <w:rStyle w:val="Hyperlink"/>
                      </w:rPr>
                      <w:t>n</w:t>
                    </w:r>
                    <w:bookmarkEnd w:id="0"/>
                    <w:r w:rsidR="00D87556" w:rsidRPr="009F119E">
                      <w:rPr>
                        <w:rStyle w:val="Hyperlink"/>
                      </w:rPr>
                      <w:t>ts</w:t>
                    </w:r>
                  </w:hyperlink>
                </w:p>
              </w:txbxContent>
            </v:textbox>
            <w10:wrap type="square"/>
          </v:shape>
        </w:pict>
      </w:r>
    </w:p>
    <w:p w:rsidR="00A87602" w:rsidRPr="00A87602" w:rsidRDefault="00A87602" w:rsidP="00A87602">
      <w:pPr>
        <w:spacing w:after="0" w:line="240" w:lineRule="auto"/>
        <w:rPr>
          <w:rFonts w:eastAsia="Calibri" w:cs="Times New Roman"/>
          <w:b/>
          <w:szCs w:val="24"/>
        </w:rPr>
      </w:pPr>
      <w:r>
        <w:rPr>
          <w:rFonts w:eastAsia="Calibri" w:cs="Times New Roman"/>
          <w:b/>
          <w:szCs w:val="24"/>
        </w:rPr>
        <w:t>18.1</w:t>
      </w:r>
      <w:r>
        <w:rPr>
          <w:rFonts w:eastAsia="Calibri" w:cs="Times New Roman"/>
          <w:b/>
          <w:szCs w:val="24"/>
        </w:rPr>
        <w:tab/>
      </w:r>
      <w:r w:rsidRPr="00A87602">
        <w:rPr>
          <w:rFonts w:eastAsia="Calibri" w:cs="Times New Roman"/>
          <w:b/>
          <w:szCs w:val="24"/>
        </w:rPr>
        <w:t>Overpayment of pensions – Rs 92 million</w:t>
      </w:r>
    </w:p>
    <w:p w:rsidR="00A87602" w:rsidRPr="00A87602" w:rsidRDefault="00A87602" w:rsidP="00A87602">
      <w:pPr>
        <w:spacing w:after="0" w:line="240" w:lineRule="auto"/>
        <w:rPr>
          <w:rFonts w:eastAsia="Calibri" w:cs="Times New Roman"/>
          <w:b/>
          <w:szCs w:val="24"/>
        </w:rPr>
      </w:pPr>
    </w:p>
    <w:p w:rsidR="00A87602" w:rsidRPr="00A87602" w:rsidRDefault="00A87602" w:rsidP="00A87602">
      <w:pPr>
        <w:spacing w:after="0" w:line="240" w:lineRule="auto"/>
        <w:jc w:val="both"/>
        <w:rPr>
          <w:rFonts w:eastAsia="Calibri" w:cs="Times New Roman"/>
          <w:szCs w:val="24"/>
        </w:rPr>
      </w:pPr>
      <w:r w:rsidRPr="00A87602">
        <w:rPr>
          <w:rFonts w:eastAsia="Calibri" w:cs="Times New Roman"/>
          <w:szCs w:val="24"/>
        </w:rPr>
        <w:t xml:space="preserve">Overpayments of pensions, which stood at some Rs 88.6 million as at 30 June 2016, were some Rs 91.9 million as at 30 June 2017. During </w:t>
      </w:r>
      <w:r w:rsidR="00C70F35">
        <w:rPr>
          <w:rFonts w:eastAsia="Calibri" w:cs="Times New Roman"/>
          <w:szCs w:val="24"/>
        </w:rPr>
        <w:t>2016-17, new cases of overpayments were</w:t>
      </w:r>
      <w:r w:rsidRPr="00A87602">
        <w:rPr>
          <w:rFonts w:eastAsia="Calibri" w:cs="Times New Roman"/>
          <w:szCs w:val="24"/>
        </w:rPr>
        <w:t xml:space="preserve"> to the order of some Rs 41.1 million. Out of that amount, Rs 17.6 million and </w:t>
      </w:r>
      <w:r w:rsidR="0086635C">
        <w:rPr>
          <w:rFonts w:eastAsia="Calibri" w:cs="Times New Roman"/>
          <w:szCs w:val="24"/>
        </w:rPr>
        <w:br/>
      </w:r>
      <w:r w:rsidRPr="00A87602">
        <w:rPr>
          <w:rFonts w:eastAsia="Calibri" w:cs="Times New Roman"/>
          <w:szCs w:val="24"/>
        </w:rPr>
        <w:t>Rs 16.4 million related to cases of Departures of beneficiaries overseas and to Deaths respectively. Overpayments in respect of these cases were as follows:</w:t>
      </w:r>
    </w:p>
    <w:p w:rsidR="00A87602" w:rsidRDefault="00A87602" w:rsidP="00CB18C6">
      <w:pPr>
        <w:spacing w:after="0" w:line="240" w:lineRule="auto"/>
        <w:jc w:val="both"/>
        <w:rPr>
          <w:rFonts w:eastAsia="Calibri" w:cs="Times New Roman"/>
          <w:szCs w:val="24"/>
        </w:rPr>
      </w:pPr>
    </w:p>
    <w:p w:rsidR="00A87602" w:rsidRPr="00A87602" w:rsidRDefault="00A87602" w:rsidP="00C70F35">
      <w:pPr>
        <w:spacing w:after="0" w:line="240" w:lineRule="auto"/>
        <w:ind w:hanging="90"/>
        <w:jc w:val="both"/>
        <w:rPr>
          <w:rFonts w:eastAsia="Calibri" w:cs="Times New Roman"/>
          <w:szCs w:val="24"/>
        </w:rPr>
      </w:pPr>
    </w:p>
    <w:tbl>
      <w:tblPr>
        <w:tblStyle w:val="TableGrid"/>
        <w:tblW w:w="83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86"/>
        <w:gridCol w:w="1437"/>
        <w:gridCol w:w="1432"/>
        <w:gridCol w:w="1466"/>
        <w:gridCol w:w="1260"/>
      </w:tblGrid>
      <w:tr w:rsidR="00A87602" w:rsidRPr="00A87602" w:rsidTr="00CB18C6">
        <w:trPr>
          <w:jc w:val="center"/>
        </w:trPr>
        <w:tc>
          <w:tcPr>
            <w:tcW w:w="1242" w:type="dxa"/>
            <w:tcMar>
              <w:bottom w:w="142" w:type="dxa"/>
            </w:tcMar>
          </w:tcPr>
          <w:p w:rsidR="00A87602" w:rsidRPr="00A87602" w:rsidRDefault="00A87602" w:rsidP="00CB18C6">
            <w:pPr>
              <w:jc w:val="both"/>
              <w:rPr>
                <w:rFonts w:eastAsia="Calibri" w:cs="Times New Roman"/>
                <w:b/>
                <w:sz w:val="22"/>
                <w:szCs w:val="24"/>
              </w:rPr>
            </w:pPr>
            <w:r w:rsidRPr="00A87602">
              <w:rPr>
                <w:rFonts w:eastAsia="Calibri" w:cs="Times New Roman"/>
                <w:b/>
                <w:sz w:val="22"/>
                <w:szCs w:val="24"/>
              </w:rPr>
              <w:t xml:space="preserve">Details </w:t>
            </w:r>
          </w:p>
        </w:tc>
        <w:tc>
          <w:tcPr>
            <w:tcW w:w="1486" w:type="dxa"/>
            <w:tcMar>
              <w:bottom w:w="142" w:type="dxa"/>
            </w:tcMar>
          </w:tcPr>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Opening balance as at 01 July 2016</w:t>
            </w:r>
          </w:p>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(Rs)</w:t>
            </w:r>
          </w:p>
        </w:tc>
        <w:tc>
          <w:tcPr>
            <w:tcW w:w="1437" w:type="dxa"/>
            <w:tcMar>
              <w:bottom w:w="142" w:type="dxa"/>
            </w:tcMar>
          </w:tcPr>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New cases</w:t>
            </w:r>
          </w:p>
          <w:p w:rsidR="00A87602" w:rsidRDefault="00A87602" w:rsidP="00CB18C6">
            <w:pPr>
              <w:jc w:val="center"/>
              <w:rPr>
                <w:rFonts w:eastAsia="Calibri" w:cs="Times New Roman"/>
                <w:b/>
                <w:sz w:val="22"/>
                <w:szCs w:val="24"/>
              </w:rPr>
            </w:pPr>
          </w:p>
          <w:p w:rsidR="00CB18C6" w:rsidRPr="00A87602" w:rsidRDefault="00CB18C6" w:rsidP="00CB18C6">
            <w:pPr>
              <w:jc w:val="center"/>
              <w:rPr>
                <w:rFonts w:eastAsia="Calibri" w:cs="Times New Roman"/>
                <w:b/>
                <w:sz w:val="22"/>
                <w:szCs w:val="24"/>
              </w:rPr>
            </w:pPr>
          </w:p>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(Rs)</w:t>
            </w:r>
          </w:p>
        </w:tc>
        <w:tc>
          <w:tcPr>
            <w:tcW w:w="1432" w:type="dxa"/>
            <w:tcMar>
              <w:bottom w:w="142" w:type="dxa"/>
            </w:tcMar>
          </w:tcPr>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Total</w:t>
            </w:r>
          </w:p>
          <w:p w:rsidR="00A87602" w:rsidRDefault="00A87602" w:rsidP="00CB18C6">
            <w:pPr>
              <w:jc w:val="center"/>
              <w:rPr>
                <w:rFonts w:eastAsia="Calibri" w:cs="Times New Roman"/>
                <w:b/>
                <w:sz w:val="22"/>
                <w:szCs w:val="24"/>
              </w:rPr>
            </w:pPr>
          </w:p>
          <w:p w:rsidR="00CB18C6" w:rsidRPr="00A87602" w:rsidRDefault="00CB18C6" w:rsidP="00CB18C6">
            <w:pPr>
              <w:jc w:val="center"/>
              <w:rPr>
                <w:rFonts w:eastAsia="Calibri" w:cs="Times New Roman"/>
                <w:b/>
                <w:sz w:val="22"/>
                <w:szCs w:val="24"/>
              </w:rPr>
            </w:pPr>
          </w:p>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(Rs)</w:t>
            </w:r>
          </w:p>
        </w:tc>
        <w:tc>
          <w:tcPr>
            <w:tcW w:w="1466" w:type="dxa"/>
            <w:tcMar>
              <w:bottom w:w="142" w:type="dxa"/>
            </w:tcMar>
          </w:tcPr>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Refund during the year</w:t>
            </w:r>
          </w:p>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(Rs)</w:t>
            </w:r>
          </w:p>
        </w:tc>
        <w:tc>
          <w:tcPr>
            <w:tcW w:w="1260" w:type="dxa"/>
            <w:tcMar>
              <w:bottom w:w="142" w:type="dxa"/>
            </w:tcMar>
          </w:tcPr>
          <w:p w:rsidR="00A87602" w:rsidRPr="00A87602" w:rsidRDefault="00A87602" w:rsidP="00CB18C6">
            <w:pPr>
              <w:jc w:val="center"/>
              <w:rPr>
                <w:rFonts w:eastAsia="Calibri" w:cs="Times New Roman"/>
                <w:b/>
                <w:sz w:val="22"/>
                <w:szCs w:val="24"/>
              </w:rPr>
            </w:pPr>
            <w:r w:rsidRPr="00A87602">
              <w:rPr>
                <w:rFonts w:eastAsia="Calibri" w:cs="Times New Roman"/>
                <w:b/>
                <w:sz w:val="22"/>
                <w:szCs w:val="24"/>
              </w:rPr>
              <w:t>Percentage recovered</w:t>
            </w:r>
          </w:p>
        </w:tc>
      </w:tr>
      <w:tr w:rsidR="00A87602" w:rsidRPr="00A87602" w:rsidTr="00CB18C6">
        <w:trPr>
          <w:jc w:val="center"/>
        </w:trPr>
        <w:tc>
          <w:tcPr>
            <w:tcW w:w="1242" w:type="dxa"/>
            <w:tcMar>
              <w:bottom w:w="142" w:type="dxa"/>
            </w:tcMar>
          </w:tcPr>
          <w:p w:rsidR="00A87602" w:rsidRPr="00A87602" w:rsidRDefault="00A87602" w:rsidP="00CB18C6">
            <w:pPr>
              <w:spacing w:before="120"/>
              <w:jc w:val="both"/>
              <w:rPr>
                <w:rFonts w:eastAsia="Calibri" w:cs="Times New Roman"/>
                <w:sz w:val="22"/>
                <w:szCs w:val="24"/>
              </w:rPr>
            </w:pPr>
            <w:r w:rsidRPr="00A87602">
              <w:rPr>
                <w:rFonts w:eastAsia="Calibri" w:cs="Times New Roman"/>
                <w:sz w:val="22"/>
                <w:szCs w:val="24"/>
              </w:rPr>
              <w:t xml:space="preserve">Death </w:t>
            </w:r>
          </w:p>
        </w:tc>
        <w:tc>
          <w:tcPr>
            <w:tcW w:w="1486" w:type="dxa"/>
            <w:tcMar>
              <w:bottom w:w="142" w:type="dxa"/>
            </w:tcMar>
          </w:tcPr>
          <w:p w:rsidR="00A87602" w:rsidRPr="00A87602" w:rsidRDefault="00A87602" w:rsidP="00CB18C6">
            <w:pPr>
              <w:spacing w:before="120"/>
              <w:jc w:val="both"/>
              <w:rPr>
                <w:rFonts w:eastAsia="Calibri" w:cs="Times New Roman"/>
                <w:sz w:val="22"/>
                <w:szCs w:val="24"/>
              </w:rPr>
            </w:pPr>
            <w:r w:rsidRPr="00A87602">
              <w:rPr>
                <w:rFonts w:eastAsia="Calibri" w:cs="Times New Roman"/>
                <w:sz w:val="22"/>
                <w:szCs w:val="24"/>
              </w:rPr>
              <w:t>15,244,348</w:t>
            </w:r>
          </w:p>
        </w:tc>
        <w:tc>
          <w:tcPr>
            <w:tcW w:w="1437" w:type="dxa"/>
            <w:tcMar>
              <w:bottom w:w="142" w:type="dxa"/>
            </w:tcMar>
          </w:tcPr>
          <w:p w:rsidR="00A87602" w:rsidRPr="00A87602" w:rsidRDefault="00A87602" w:rsidP="00CB18C6">
            <w:pPr>
              <w:spacing w:before="120"/>
              <w:jc w:val="both"/>
              <w:rPr>
                <w:rFonts w:eastAsia="Calibri" w:cs="Times New Roman"/>
                <w:sz w:val="22"/>
                <w:szCs w:val="24"/>
              </w:rPr>
            </w:pPr>
            <w:r w:rsidRPr="00A87602">
              <w:rPr>
                <w:rFonts w:eastAsia="Calibri" w:cs="Times New Roman"/>
                <w:sz w:val="22"/>
                <w:szCs w:val="24"/>
              </w:rPr>
              <w:t>16,396,036</w:t>
            </w:r>
          </w:p>
        </w:tc>
        <w:tc>
          <w:tcPr>
            <w:tcW w:w="1432" w:type="dxa"/>
            <w:tcMar>
              <w:bottom w:w="142" w:type="dxa"/>
            </w:tcMar>
          </w:tcPr>
          <w:p w:rsidR="00A87602" w:rsidRPr="00A87602" w:rsidRDefault="00A87602" w:rsidP="00CB18C6">
            <w:pPr>
              <w:spacing w:before="120"/>
              <w:jc w:val="both"/>
              <w:rPr>
                <w:rFonts w:eastAsia="Calibri" w:cs="Times New Roman"/>
                <w:sz w:val="22"/>
                <w:szCs w:val="24"/>
              </w:rPr>
            </w:pPr>
            <w:r w:rsidRPr="00A87602">
              <w:rPr>
                <w:rFonts w:eastAsia="Calibri" w:cs="Times New Roman"/>
                <w:sz w:val="22"/>
                <w:szCs w:val="24"/>
              </w:rPr>
              <w:t>31,640,384</w:t>
            </w:r>
          </w:p>
        </w:tc>
        <w:tc>
          <w:tcPr>
            <w:tcW w:w="1466" w:type="dxa"/>
            <w:tcMar>
              <w:bottom w:w="142" w:type="dxa"/>
            </w:tcMar>
          </w:tcPr>
          <w:p w:rsidR="00A87602" w:rsidRPr="00A87602" w:rsidRDefault="00A87602" w:rsidP="00CB18C6">
            <w:pPr>
              <w:spacing w:before="120"/>
              <w:jc w:val="both"/>
              <w:rPr>
                <w:rFonts w:eastAsia="Calibri" w:cs="Times New Roman"/>
                <w:sz w:val="22"/>
                <w:szCs w:val="24"/>
              </w:rPr>
            </w:pPr>
            <w:r w:rsidRPr="00A87602">
              <w:rPr>
                <w:rFonts w:eastAsia="Calibri" w:cs="Times New Roman"/>
                <w:sz w:val="22"/>
                <w:szCs w:val="24"/>
              </w:rPr>
              <w:t>13,080,950</w:t>
            </w:r>
          </w:p>
        </w:tc>
        <w:tc>
          <w:tcPr>
            <w:tcW w:w="1260" w:type="dxa"/>
            <w:tcMar>
              <w:bottom w:w="142" w:type="dxa"/>
            </w:tcMar>
          </w:tcPr>
          <w:p w:rsidR="00A87602" w:rsidRPr="00A87602" w:rsidRDefault="00486004" w:rsidP="00CB18C6">
            <w:pPr>
              <w:spacing w:before="120"/>
              <w:jc w:val="center"/>
              <w:rPr>
                <w:rFonts w:eastAsia="Calibri" w:cs="Times New Roman"/>
                <w:sz w:val="22"/>
                <w:szCs w:val="24"/>
              </w:rPr>
            </w:pPr>
            <w:r>
              <w:rPr>
                <w:rFonts w:eastAsia="Calibri" w:cs="Times New Roman"/>
                <w:sz w:val="22"/>
                <w:szCs w:val="24"/>
              </w:rPr>
              <w:t>41</w:t>
            </w:r>
          </w:p>
        </w:tc>
      </w:tr>
      <w:tr w:rsidR="00A87602" w:rsidRPr="00A87602" w:rsidTr="0065021B">
        <w:trPr>
          <w:trHeight w:val="237"/>
          <w:jc w:val="center"/>
        </w:trPr>
        <w:tc>
          <w:tcPr>
            <w:tcW w:w="1242" w:type="dxa"/>
          </w:tcPr>
          <w:p w:rsidR="00A87602" w:rsidRPr="00A87602" w:rsidRDefault="00A87602" w:rsidP="0065021B">
            <w:pPr>
              <w:jc w:val="both"/>
              <w:rPr>
                <w:rFonts w:eastAsia="Calibri" w:cs="Times New Roman"/>
                <w:sz w:val="22"/>
                <w:szCs w:val="24"/>
              </w:rPr>
            </w:pPr>
            <w:r w:rsidRPr="00A87602">
              <w:rPr>
                <w:rFonts w:eastAsia="Calibri" w:cs="Times New Roman"/>
                <w:sz w:val="22"/>
                <w:szCs w:val="24"/>
              </w:rPr>
              <w:t xml:space="preserve">Departure </w:t>
            </w:r>
          </w:p>
        </w:tc>
        <w:tc>
          <w:tcPr>
            <w:tcW w:w="1486" w:type="dxa"/>
          </w:tcPr>
          <w:p w:rsidR="00A87602" w:rsidRPr="00A87602" w:rsidRDefault="00A87602" w:rsidP="0065021B">
            <w:pPr>
              <w:jc w:val="both"/>
              <w:rPr>
                <w:rFonts w:eastAsia="Calibri" w:cs="Times New Roman"/>
                <w:sz w:val="22"/>
                <w:szCs w:val="24"/>
              </w:rPr>
            </w:pPr>
            <w:r w:rsidRPr="00A87602">
              <w:rPr>
                <w:rFonts w:eastAsia="Calibri" w:cs="Times New Roman"/>
                <w:sz w:val="22"/>
                <w:szCs w:val="24"/>
              </w:rPr>
              <w:t>38,085,445</w:t>
            </w:r>
          </w:p>
        </w:tc>
        <w:tc>
          <w:tcPr>
            <w:tcW w:w="1437" w:type="dxa"/>
          </w:tcPr>
          <w:p w:rsidR="00A87602" w:rsidRPr="00A87602" w:rsidRDefault="00A87602" w:rsidP="0065021B">
            <w:pPr>
              <w:jc w:val="both"/>
              <w:rPr>
                <w:rFonts w:eastAsia="Calibri" w:cs="Times New Roman"/>
                <w:sz w:val="22"/>
                <w:szCs w:val="24"/>
              </w:rPr>
            </w:pPr>
            <w:r w:rsidRPr="00A87602">
              <w:rPr>
                <w:rFonts w:eastAsia="Calibri" w:cs="Times New Roman"/>
                <w:sz w:val="22"/>
                <w:szCs w:val="24"/>
              </w:rPr>
              <w:t>17,584,177</w:t>
            </w:r>
          </w:p>
        </w:tc>
        <w:tc>
          <w:tcPr>
            <w:tcW w:w="1432" w:type="dxa"/>
          </w:tcPr>
          <w:p w:rsidR="00A87602" w:rsidRPr="00A87602" w:rsidRDefault="00A87602" w:rsidP="0065021B">
            <w:pPr>
              <w:jc w:val="both"/>
              <w:rPr>
                <w:rFonts w:eastAsia="Calibri" w:cs="Times New Roman"/>
                <w:sz w:val="22"/>
                <w:szCs w:val="24"/>
              </w:rPr>
            </w:pPr>
            <w:r w:rsidRPr="00A87602">
              <w:rPr>
                <w:rFonts w:eastAsia="Calibri" w:cs="Times New Roman"/>
                <w:sz w:val="22"/>
                <w:szCs w:val="24"/>
              </w:rPr>
              <w:t>55,669,622</w:t>
            </w:r>
          </w:p>
        </w:tc>
        <w:tc>
          <w:tcPr>
            <w:tcW w:w="1466" w:type="dxa"/>
          </w:tcPr>
          <w:p w:rsidR="00A87602" w:rsidRPr="00A87602" w:rsidRDefault="00A87602" w:rsidP="0065021B">
            <w:pPr>
              <w:jc w:val="both"/>
              <w:rPr>
                <w:rFonts w:eastAsia="Calibri" w:cs="Times New Roman"/>
                <w:sz w:val="22"/>
                <w:szCs w:val="24"/>
              </w:rPr>
            </w:pPr>
            <w:r w:rsidRPr="00A87602">
              <w:rPr>
                <w:rFonts w:eastAsia="Calibri" w:cs="Times New Roman"/>
                <w:sz w:val="22"/>
                <w:szCs w:val="24"/>
              </w:rPr>
              <w:t>13,757,774</w:t>
            </w:r>
          </w:p>
        </w:tc>
        <w:tc>
          <w:tcPr>
            <w:tcW w:w="1260" w:type="dxa"/>
          </w:tcPr>
          <w:p w:rsidR="00A87602" w:rsidRPr="00A87602" w:rsidRDefault="00486004" w:rsidP="0065021B">
            <w:pPr>
              <w:jc w:val="center"/>
              <w:rPr>
                <w:rFonts w:eastAsia="Calibri" w:cs="Times New Roman"/>
                <w:sz w:val="22"/>
                <w:szCs w:val="24"/>
              </w:rPr>
            </w:pPr>
            <w:r>
              <w:rPr>
                <w:rFonts w:eastAsia="Calibri" w:cs="Times New Roman"/>
                <w:sz w:val="22"/>
                <w:szCs w:val="24"/>
              </w:rPr>
              <w:t>25</w:t>
            </w:r>
          </w:p>
        </w:tc>
      </w:tr>
    </w:tbl>
    <w:p w:rsidR="00A87602" w:rsidRPr="00A87602" w:rsidRDefault="00A87602" w:rsidP="00C70F35">
      <w:pPr>
        <w:spacing w:after="0" w:line="240" w:lineRule="auto"/>
        <w:jc w:val="both"/>
        <w:rPr>
          <w:rFonts w:eastAsia="Calibri" w:cs="Times New Roman"/>
          <w:szCs w:val="24"/>
        </w:rPr>
      </w:pPr>
    </w:p>
    <w:p w:rsidR="00CB18C6" w:rsidRDefault="00CB18C6" w:rsidP="00A87602">
      <w:pPr>
        <w:spacing w:after="0" w:line="240" w:lineRule="auto"/>
        <w:jc w:val="both"/>
        <w:rPr>
          <w:rFonts w:eastAsia="Calibri" w:cs="Times New Roman"/>
          <w:szCs w:val="24"/>
        </w:rPr>
      </w:pPr>
    </w:p>
    <w:p w:rsidR="00A87602" w:rsidRPr="00A87602" w:rsidRDefault="00A87602" w:rsidP="00A87602">
      <w:pPr>
        <w:spacing w:after="0" w:line="240" w:lineRule="auto"/>
        <w:jc w:val="both"/>
        <w:rPr>
          <w:rFonts w:eastAsia="Calibri" w:cs="Times New Roman"/>
          <w:szCs w:val="24"/>
          <w:highlight w:val="yellow"/>
        </w:rPr>
      </w:pPr>
      <w:r w:rsidRPr="00A87602">
        <w:rPr>
          <w:rFonts w:eastAsia="Calibri" w:cs="Times New Roman"/>
          <w:szCs w:val="24"/>
        </w:rPr>
        <w:t xml:space="preserve">Overpayment in above two cases continued to be on the increase each year due to </w:t>
      </w:r>
      <w:proofErr w:type="gramStart"/>
      <w:r w:rsidRPr="00A87602">
        <w:rPr>
          <w:rFonts w:eastAsia="Calibri" w:cs="Times New Roman"/>
          <w:szCs w:val="24"/>
        </w:rPr>
        <w:t>recovery</w:t>
      </w:r>
      <w:proofErr w:type="gramEnd"/>
      <w:r w:rsidRPr="00A87602">
        <w:rPr>
          <w:rFonts w:eastAsia="Calibri" w:cs="Times New Roman"/>
          <w:szCs w:val="24"/>
        </w:rPr>
        <w:t xml:space="preserve"> </w:t>
      </w:r>
      <w:r w:rsidR="0086635C">
        <w:rPr>
          <w:rFonts w:eastAsia="Calibri" w:cs="Times New Roman"/>
          <w:szCs w:val="24"/>
        </w:rPr>
        <w:t xml:space="preserve">being only </w:t>
      </w:r>
      <w:r w:rsidRPr="00A87602">
        <w:rPr>
          <w:rFonts w:eastAsia="Calibri" w:cs="Times New Roman"/>
          <w:szCs w:val="24"/>
        </w:rPr>
        <w:t>41 per cent in respect of Death cases and 25 pe</w:t>
      </w:r>
      <w:r w:rsidR="0086635C">
        <w:rPr>
          <w:rFonts w:eastAsia="Calibri" w:cs="Times New Roman"/>
          <w:szCs w:val="24"/>
        </w:rPr>
        <w:t xml:space="preserve">r cent </w:t>
      </w:r>
      <w:r w:rsidR="00486004">
        <w:rPr>
          <w:rFonts w:eastAsia="Calibri" w:cs="Times New Roman"/>
          <w:szCs w:val="24"/>
        </w:rPr>
        <w:t>regarding Departure</w:t>
      </w:r>
      <w:r w:rsidRPr="00A87602">
        <w:rPr>
          <w:rFonts w:eastAsia="Calibri" w:cs="Times New Roman"/>
          <w:szCs w:val="24"/>
        </w:rPr>
        <w:t xml:space="preserve"> cases.</w:t>
      </w:r>
      <w:r w:rsidRPr="00A87602">
        <w:rPr>
          <w:rFonts w:eastAsia="Calibri" w:cs="Times New Roman"/>
          <w:szCs w:val="24"/>
          <w:highlight w:val="yellow"/>
        </w:rPr>
        <w:t xml:space="preserve"> </w:t>
      </w:r>
    </w:p>
    <w:p w:rsidR="00A87602" w:rsidRPr="00A87602" w:rsidRDefault="00A87602" w:rsidP="00A87602">
      <w:pPr>
        <w:spacing w:after="0" w:line="240" w:lineRule="auto"/>
        <w:jc w:val="both"/>
        <w:rPr>
          <w:rFonts w:eastAsia="Calibri" w:cs="Times New Roman"/>
          <w:szCs w:val="24"/>
        </w:rPr>
      </w:pPr>
    </w:p>
    <w:p w:rsidR="00A87602" w:rsidRPr="00A87602" w:rsidRDefault="00A87602" w:rsidP="00A87602">
      <w:pPr>
        <w:spacing w:after="0" w:line="240" w:lineRule="auto"/>
        <w:jc w:val="both"/>
        <w:rPr>
          <w:rFonts w:eastAsia="Calibri" w:cs="Times New Roman"/>
          <w:szCs w:val="24"/>
        </w:rPr>
      </w:pPr>
      <w:r w:rsidRPr="00A87602">
        <w:rPr>
          <w:rFonts w:eastAsia="Calibri" w:cs="Times New Roman"/>
          <w:szCs w:val="24"/>
        </w:rPr>
        <w:t>It was reported at paragraph 19.2 of the Audit Report for the 18-month period 1 January 2015 to 30 June 2016 that amendments were brought to the Acts of two Public Bodies for the sharing of information in May 2015, and that, the information was not yet made available to the Ministry despite the amendments to legislations.</w:t>
      </w:r>
    </w:p>
    <w:p w:rsidR="00A87602" w:rsidRPr="00A87602" w:rsidRDefault="00A87602" w:rsidP="00A87602">
      <w:pPr>
        <w:spacing w:after="0" w:line="240" w:lineRule="auto"/>
        <w:jc w:val="both"/>
        <w:rPr>
          <w:rFonts w:eastAsia="Calibri" w:cs="Times New Roman"/>
          <w:szCs w:val="24"/>
        </w:rPr>
      </w:pPr>
    </w:p>
    <w:p w:rsidR="00A87602" w:rsidRPr="00A87602" w:rsidRDefault="00A87602" w:rsidP="00A87602">
      <w:pPr>
        <w:spacing w:after="0" w:line="240" w:lineRule="auto"/>
        <w:jc w:val="both"/>
        <w:rPr>
          <w:rFonts w:eastAsia="Calibri" w:cs="Times New Roman"/>
          <w:szCs w:val="24"/>
        </w:rPr>
      </w:pPr>
      <w:r w:rsidRPr="00A87602">
        <w:rPr>
          <w:rFonts w:eastAsia="Calibri" w:cs="Times New Roman"/>
          <w:szCs w:val="24"/>
        </w:rPr>
        <w:t>Travel data supplied by the Passport and Immigration Office (PIO) regarding Departure cases had to be sorted out and matched manually by the Ministry. In the absence of electronic matching of data of both PIO and of the Ministry, the tracking of beneficiaries’ movements overseas, avoiding and recoupment of overpayments had proved to be administrative</w:t>
      </w:r>
      <w:r w:rsidR="00486004">
        <w:rPr>
          <w:rFonts w:eastAsia="Calibri" w:cs="Times New Roman"/>
          <w:szCs w:val="24"/>
        </w:rPr>
        <w:t>ly difficult for the Ministry.</w:t>
      </w:r>
    </w:p>
    <w:p w:rsidR="00A87602" w:rsidRPr="00A87602" w:rsidRDefault="00A87602" w:rsidP="00A87602">
      <w:pPr>
        <w:spacing w:after="0" w:line="240" w:lineRule="auto"/>
        <w:jc w:val="both"/>
        <w:rPr>
          <w:rFonts w:eastAsia="Calibri" w:cs="Times New Roman"/>
          <w:szCs w:val="24"/>
        </w:rPr>
      </w:pPr>
    </w:p>
    <w:p w:rsidR="00A87602" w:rsidRPr="00A87602" w:rsidRDefault="00A87602" w:rsidP="00A87602">
      <w:pPr>
        <w:spacing w:after="0" w:line="240" w:lineRule="auto"/>
        <w:jc w:val="both"/>
        <w:rPr>
          <w:rFonts w:eastAsia="Calibri" w:cs="Times New Roman"/>
          <w:szCs w:val="24"/>
        </w:rPr>
      </w:pPr>
      <w:r w:rsidRPr="00A87602">
        <w:rPr>
          <w:rFonts w:eastAsia="Calibri" w:cs="Times New Roman"/>
          <w:szCs w:val="24"/>
        </w:rPr>
        <w:t>According to Ministry’s re</w:t>
      </w:r>
      <w:r w:rsidR="00486004">
        <w:rPr>
          <w:rFonts w:eastAsia="Calibri" w:cs="Times New Roman"/>
          <w:szCs w:val="24"/>
        </w:rPr>
        <w:t>cords, it was understoo</w:t>
      </w:r>
      <w:r w:rsidRPr="00A87602">
        <w:rPr>
          <w:rFonts w:eastAsia="Calibri" w:cs="Times New Roman"/>
          <w:szCs w:val="24"/>
        </w:rPr>
        <w:t>d that the PIO was to have a new server operational by March 2017 for the purpose of electronic matching of data.</w:t>
      </w:r>
    </w:p>
    <w:p w:rsidR="00A87602" w:rsidRPr="00A87602" w:rsidRDefault="00A87602" w:rsidP="00A87602">
      <w:pPr>
        <w:spacing w:after="0" w:line="240" w:lineRule="auto"/>
        <w:jc w:val="both"/>
        <w:rPr>
          <w:rFonts w:eastAsia="Calibri" w:cs="Times New Roman"/>
          <w:szCs w:val="24"/>
        </w:rPr>
      </w:pPr>
    </w:p>
    <w:p w:rsidR="00A87602" w:rsidRPr="00A87602" w:rsidRDefault="00A87602" w:rsidP="00A87602">
      <w:pPr>
        <w:spacing w:after="0" w:line="240" w:lineRule="auto"/>
        <w:jc w:val="both"/>
        <w:rPr>
          <w:rFonts w:eastAsia="Calibri" w:cs="Times New Roman"/>
          <w:szCs w:val="24"/>
        </w:rPr>
      </w:pPr>
      <w:r w:rsidRPr="00A87602">
        <w:rPr>
          <w:rFonts w:eastAsia="Calibri" w:cs="Times New Roman"/>
          <w:szCs w:val="24"/>
        </w:rPr>
        <w:t>As of November 2017, the outcome was still unknown. Matching of data therefore continued to be done manually. Control over overpayments relating to departure would therefore continue to be difficult.</w:t>
      </w:r>
    </w:p>
    <w:p w:rsidR="00CB18C6" w:rsidRDefault="007E68BD">
      <w:pPr>
        <w:rPr>
          <w:rFonts w:eastAsia="Calibri" w:cs="Times New Roman"/>
          <w:szCs w:val="24"/>
        </w:rPr>
      </w:pPr>
      <w:r>
        <w:rPr>
          <w:rFonts w:eastAsia="Calibri" w:cs="Times New Roman"/>
          <w:noProof/>
          <w:szCs w:val="24"/>
          <w:lang w:val="en-GB" w:eastAsia="en-GB"/>
        </w:rPr>
        <w:pict w14:anchorId="0CDD3369">
          <v:shape id="_x0000_s1027" type="#_x0000_t202" style="position:absolute;margin-left:384.75pt;margin-top:149.9pt;width:105.35pt;height:22.5pt;z-index:251659264;visibility:visible;mso-wrap-distance-top:3.6pt;mso-wrap-distance-bottom:3.6pt;mso-width-relative:margin;mso-height-relative:margin" stroked="f">
            <v:textbox>
              <w:txbxContent>
                <w:p w:rsidR="00D87556" w:rsidRPr="009F119E" w:rsidRDefault="007E68BD" w:rsidP="00D87556">
                  <w:pPr>
                    <w:jc w:val="center"/>
                    <w:rPr>
                      <w:color w:val="7030A0"/>
                      <w:u w:val="single"/>
                    </w:rPr>
                  </w:pPr>
                  <w:hyperlink r:id="rId8" w:history="1">
                    <w:r w:rsidR="00D87556" w:rsidRPr="009F119E">
                      <w:rPr>
                        <w:rStyle w:val="Hyperlink"/>
                      </w:rPr>
                      <w:t>Back to Contents</w:t>
                    </w:r>
                  </w:hyperlink>
                </w:p>
              </w:txbxContent>
            </v:textbox>
            <w10:wrap type="square"/>
          </v:shape>
        </w:pict>
      </w:r>
      <w:r w:rsidR="00CB18C6">
        <w:rPr>
          <w:rFonts w:eastAsia="Calibri" w:cs="Times New Roman"/>
          <w:szCs w:val="24"/>
        </w:rPr>
        <w:br w:type="page"/>
      </w:r>
    </w:p>
    <w:p w:rsidR="0065021B" w:rsidRPr="0065021B" w:rsidRDefault="0065021B" w:rsidP="00BC6FB7">
      <w:pPr>
        <w:spacing w:after="0" w:line="240" w:lineRule="auto"/>
        <w:jc w:val="both"/>
        <w:rPr>
          <w:rFonts w:eastAsia="Calibri" w:cs="Times New Roman"/>
          <w:szCs w:val="24"/>
        </w:rPr>
      </w:pPr>
    </w:p>
    <w:sectPr w:rsidR="0065021B" w:rsidRPr="0065021B" w:rsidSect="001C01D8">
      <w:footerReference w:type="default" r:id="rId9"/>
      <w:headerReference w:type="first" r:id="rId10"/>
      <w:footerReference w:type="first" r:id="rId11"/>
      <w:pgSz w:w="11909" w:h="16834" w:code="9"/>
      <w:pgMar w:top="1440" w:right="1440" w:bottom="1440" w:left="1800" w:header="720" w:footer="720" w:gutter="0"/>
      <w:pgNumType w:start="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1B" w:rsidRDefault="0065021B" w:rsidP="0065021B">
      <w:pPr>
        <w:spacing w:after="0" w:line="240" w:lineRule="auto"/>
      </w:pPr>
      <w:r>
        <w:separator/>
      </w:r>
    </w:p>
  </w:endnote>
  <w:endnote w:type="continuationSeparator" w:id="0">
    <w:p w:rsidR="0065021B" w:rsidRDefault="0065021B" w:rsidP="0065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rPr>
      <w:id w:val="378695"/>
      <w:docPartObj>
        <w:docPartGallery w:val="Page Numbers (Bottom of Page)"/>
        <w:docPartUnique/>
      </w:docPartObj>
    </w:sdtPr>
    <w:sdtEndPr/>
    <w:sdtContent>
      <w:p w:rsidR="0065021B" w:rsidRPr="0065021B" w:rsidRDefault="00A205A1" w:rsidP="0065021B">
        <w:pPr>
          <w:tabs>
            <w:tab w:val="center" w:pos="4680"/>
            <w:tab w:val="right" w:pos="9360"/>
          </w:tabs>
          <w:spacing w:after="0" w:line="240" w:lineRule="auto"/>
          <w:jc w:val="center"/>
          <w:rPr>
            <w:rFonts w:eastAsia="Calibri" w:cs="Times New Roman"/>
          </w:rPr>
        </w:pPr>
        <w:r w:rsidRPr="0065021B">
          <w:rPr>
            <w:rFonts w:eastAsia="Calibri" w:cs="Times New Roman"/>
          </w:rPr>
          <w:fldChar w:fldCharType="begin"/>
        </w:r>
        <w:r w:rsidR="0065021B" w:rsidRPr="0065021B">
          <w:rPr>
            <w:rFonts w:eastAsia="Calibri" w:cs="Times New Roman"/>
          </w:rPr>
          <w:instrText xml:space="preserve"> PAGE   \* MERGEFORMAT </w:instrText>
        </w:r>
        <w:r w:rsidRPr="0065021B">
          <w:rPr>
            <w:rFonts w:eastAsia="Calibri" w:cs="Times New Roman"/>
          </w:rPr>
          <w:fldChar w:fldCharType="separate"/>
        </w:r>
        <w:r w:rsidR="007E68BD">
          <w:rPr>
            <w:rFonts w:eastAsia="Calibri" w:cs="Times New Roman"/>
            <w:noProof/>
          </w:rPr>
          <w:t>262</w:t>
        </w:r>
        <w:r w:rsidRPr="0065021B">
          <w:rPr>
            <w:rFonts w:eastAsia="Calibri" w:cs="Times New Roman"/>
            <w:noProof/>
          </w:rPr>
          <w:fldChar w:fldCharType="end"/>
        </w:r>
      </w:p>
    </w:sdtContent>
  </w:sdt>
  <w:p w:rsidR="0065021B" w:rsidRDefault="0065021B" w:rsidP="0065021B">
    <w:pPr>
      <w:tabs>
        <w:tab w:val="center" w:pos="4680"/>
        <w:tab w:val="right" w:pos="9360"/>
      </w:tabs>
      <w:spacing w:after="0" w:line="240" w:lineRule="auto"/>
      <w:jc w:val="center"/>
    </w:pPr>
    <w:r w:rsidRPr="0065021B">
      <w:rPr>
        <w:rFonts w:eastAsia="Calibri" w:cs="Times New Roman"/>
        <w:smallCaps/>
        <w:sz w:val="18"/>
        <w:szCs w:val="18"/>
      </w:rPr>
      <w:t>Ministry of Social Security, National Solidarity and Reform Institutions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067687"/>
      <w:docPartObj>
        <w:docPartGallery w:val="Page Numbers (Bottom of Page)"/>
        <w:docPartUnique/>
      </w:docPartObj>
    </w:sdtPr>
    <w:sdtEndPr>
      <w:rPr>
        <w:noProof/>
      </w:rPr>
    </w:sdtEndPr>
    <w:sdtContent>
      <w:p w:rsidR="0065021B" w:rsidRDefault="00A205A1">
        <w:pPr>
          <w:pStyle w:val="Footer"/>
          <w:jc w:val="center"/>
        </w:pPr>
        <w:r>
          <w:fldChar w:fldCharType="begin"/>
        </w:r>
        <w:r w:rsidR="0065021B">
          <w:instrText xml:space="preserve"> PAGE   \* MERGEFORMAT </w:instrText>
        </w:r>
        <w:r>
          <w:fldChar w:fldCharType="separate"/>
        </w:r>
        <w:r w:rsidR="007E68BD">
          <w:rPr>
            <w:noProof/>
          </w:rPr>
          <w:t>261</w:t>
        </w:r>
        <w:r>
          <w:rPr>
            <w:noProof/>
          </w:rPr>
          <w:fldChar w:fldCharType="end"/>
        </w:r>
      </w:p>
    </w:sdtContent>
  </w:sdt>
  <w:p w:rsidR="0065021B" w:rsidRPr="0065021B" w:rsidRDefault="0065021B" w:rsidP="0065021B">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1B" w:rsidRDefault="0065021B" w:rsidP="0065021B">
      <w:pPr>
        <w:spacing w:after="0" w:line="240" w:lineRule="auto"/>
      </w:pPr>
      <w:r>
        <w:separator/>
      </w:r>
    </w:p>
  </w:footnote>
  <w:footnote w:type="continuationSeparator" w:id="0">
    <w:p w:rsidR="0065021B" w:rsidRDefault="0065021B" w:rsidP="00650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8C" w:rsidRDefault="0024678C" w:rsidP="0024678C">
    <w:pPr>
      <w:jc w:val="center"/>
    </w:pPr>
    <w:r>
      <w:rPr>
        <w:b/>
        <w:smallCaps/>
        <w:sz w:val="40"/>
        <w:szCs w:val="40"/>
      </w:rPr>
      <w:t xml:space="preserve">18 </w:t>
    </w:r>
    <w:r w:rsidRPr="00580196">
      <w:rPr>
        <w:b/>
        <w:smallCaps/>
        <w:sz w:val="40"/>
        <w:szCs w:val="40"/>
      </w:rPr>
      <w:t>- Ministry of Social Security, National Solidarity and Reform Institutions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5DE5"/>
    <w:multiLevelType w:val="hybridMultilevel"/>
    <w:tmpl w:val="B6C41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F3D7F"/>
    <w:multiLevelType w:val="hybridMultilevel"/>
    <w:tmpl w:val="9D52D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8243C"/>
    <w:multiLevelType w:val="hybridMultilevel"/>
    <w:tmpl w:val="1D0C9E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91BDD"/>
    <w:rsid w:val="000F05D3"/>
    <w:rsid w:val="00170692"/>
    <w:rsid w:val="001C01D8"/>
    <w:rsid w:val="0024678C"/>
    <w:rsid w:val="002D2C91"/>
    <w:rsid w:val="002F1136"/>
    <w:rsid w:val="00310E0F"/>
    <w:rsid w:val="00325A8E"/>
    <w:rsid w:val="00430ACD"/>
    <w:rsid w:val="00486004"/>
    <w:rsid w:val="00526506"/>
    <w:rsid w:val="00580196"/>
    <w:rsid w:val="0065021B"/>
    <w:rsid w:val="00650810"/>
    <w:rsid w:val="00693BBF"/>
    <w:rsid w:val="00695CE0"/>
    <w:rsid w:val="006E69E3"/>
    <w:rsid w:val="007916CC"/>
    <w:rsid w:val="007A007C"/>
    <w:rsid w:val="007E68BD"/>
    <w:rsid w:val="0086635C"/>
    <w:rsid w:val="009F58DA"/>
    <w:rsid w:val="009F6E67"/>
    <w:rsid w:val="00A205A1"/>
    <w:rsid w:val="00A754B9"/>
    <w:rsid w:val="00A87602"/>
    <w:rsid w:val="00A90EF3"/>
    <w:rsid w:val="00A91BDD"/>
    <w:rsid w:val="00B36526"/>
    <w:rsid w:val="00BC6FB7"/>
    <w:rsid w:val="00BE5DAD"/>
    <w:rsid w:val="00C70F35"/>
    <w:rsid w:val="00C873F1"/>
    <w:rsid w:val="00CB18C6"/>
    <w:rsid w:val="00D025F1"/>
    <w:rsid w:val="00D87556"/>
    <w:rsid w:val="00E2320A"/>
    <w:rsid w:val="00E3491A"/>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EED1866-9AAD-4258-88BD-4BABB99C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21B"/>
  </w:style>
  <w:style w:type="paragraph" w:styleId="Footer">
    <w:name w:val="footer"/>
    <w:basedOn w:val="Normal"/>
    <w:link w:val="FooterChar"/>
    <w:uiPriority w:val="99"/>
    <w:unhideWhenUsed/>
    <w:rsid w:val="00650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21B"/>
  </w:style>
  <w:style w:type="paragraph" w:styleId="BalloonText">
    <w:name w:val="Balloon Text"/>
    <w:basedOn w:val="Normal"/>
    <w:link w:val="BalloonTextChar"/>
    <w:uiPriority w:val="99"/>
    <w:semiHidden/>
    <w:unhideWhenUsed/>
    <w:rsid w:val="00C70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35"/>
    <w:rPr>
      <w:rFonts w:ascii="Segoe UI" w:hAnsi="Segoe UI" w:cs="Segoe UI"/>
      <w:sz w:val="18"/>
      <w:szCs w:val="18"/>
    </w:rPr>
  </w:style>
  <w:style w:type="character" w:styleId="Hyperlink">
    <w:name w:val="Hyperlink"/>
    <w:basedOn w:val="DefaultParagraphFont"/>
    <w:uiPriority w:val="99"/>
    <w:unhideWhenUsed/>
    <w:rsid w:val="00D87556"/>
    <w:rPr>
      <w:rFonts w:cs="Times New Roman"/>
      <w:color w:val="0000FF" w:themeColor="hyperlink"/>
      <w:u w:val="single"/>
    </w:rPr>
  </w:style>
  <w:style w:type="character" w:styleId="FollowedHyperlink">
    <w:name w:val="FollowedHyperlink"/>
    <w:basedOn w:val="DefaultParagraphFont"/>
    <w:uiPriority w:val="99"/>
    <w:semiHidden/>
    <w:unhideWhenUsed/>
    <w:rsid w:val="007E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2097">
      <w:bodyDiv w:val="1"/>
      <w:marLeft w:val="0"/>
      <w:marRight w:val="0"/>
      <w:marTop w:val="0"/>
      <w:marBottom w:val="0"/>
      <w:divBdr>
        <w:top w:val="none" w:sz="0" w:space="0" w:color="auto"/>
        <w:left w:val="none" w:sz="0" w:space="0" w:color="auto"/>
        <w:bottom w:val="none" w:sz="0" w:space="0" w:color="auto"/>
        <w:right w:val="none" w:sz="0" w:space="0" w:color="auto"/>
      </w:divBdr>
    </w:div>
    <w:div w:id="5646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20</cp:revision>
  <cp:lastPrinted>2018-02-26T14:05:00Z</cp:lastPrinted>
  <dcterms:created xsi:type="dcterms:W3CDTF">2018-02-12T06:28:00Z</dcterms:created>
  <dcterms:modified xsi:type="dcterms:W3CDTF">2018-03-26T05:12:00Z</dcterms:modified>
</cp:coreProperties>
</file>