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1A97" w:rsidRPr="00B52B3C" w:rsidRDefault="000E362B" w:rsidP="00421A97">
      <w:pPr>
        <w:spacing w:after="0" w:line="240" w:lineRule="auto"/>
        <w:jc w:val="both"/>
        <w:rPr>
          <w:rFonts w:eastAsia="Calibri" w:cs="Times New Roman"/>
          <w:b/>
          <w:bCs/>
          <w:szCs w:val="24"/>
        </w:rPr>
      </w:pPr>
      <w:r>
        <w:rPr>
          <w:rFonts w:eastAsia="Calibri" w:cs="Times New Roman"/>
          <w:b/>
          <w:bCs/>
          <w:noProof/>
          <w:szCs w:val="24"/>
          <w:lang w:val="en-GB" w:eastAsia="en-GB"/>
        </w:rPr>
        <w:pict w14:anchorId="13FC4619">
          <v:shapetype id="_x0000_t202" coordsize="21600,21600" o:spt="202" path="m,l,21600r21600,l21600,xe">
            <v:stroke joinstyle="miter"/>
            <v:path gradientshapeok="t" o:connecttype="rect"/>
          </v:shapetype>
          <v:shape id="Text Box 2" o:spid="_x0000_s1026" type="#_x0000_t202" style="position:absolute;left:0;text-align:left;margin-left:381.2pt;margin-top:-63pt;width:105.35pt;height:22.5pt;z-index:251658240;visibility:visible;mso-wrap-distance-top:3.6pt;mso-wrap-distance-bottom:3.6pt;mso-width-relative:margin;mso-height-relative:margin" stroked="f">
            <v:textbox>
              <w:txbxContent>
                <w:p w:rsidR="00EE3030" w:rsidRPr="009F119E" w:rsidRDefault="000E362B" w:rsidP="00EE3030">
                  <w:pPr>
                    <w:jc w:val="center"/>
                    <w:rPr>
                      <w:color w:val="7030A0"/>
                      <w:u w:val="single"/>
                    </w:rPr>
                  </w:pPr>
                  <w:hyperlink r:id="rId7" w:history="1">
                    <w:r w:rsidR="00EE3030" w:rsidRPr="009F119E">
                      <w:rPr>
                        <w:rStyle w:val="Hyperlink"/>
                      </w:rPr>
                      <w:t>Back t</w:t>
                    </w:r>
                    <w:bookmarkStart w:id="0" w:name="_GoBack"/>
                    <w:r w:rsidR="00EE3030" w:rsidRPr="009F119E">
                      <w:rPr>
                        <w:rStyle w:val="Hyperlink"/>
                      </w:rPr>
                      <w:t>o</w:t>
                    </w:r>
                    <w:bookmarkEnd w:id="0"/>
                    <w:r w:rsidR="00EE3030" w:rsidRPr="009F119E">
                      <w:rPr>
                        <w:rStyle w:val="Hyperlink"/>
                      </w:rPr>
                      <w:t xml:space="preserve"> Contents</w:t>
                    </w:r>
                  </w:hyperlink>
                </w:p>
              </w:txbxContent>
            </v:textbox>
            <w10:wrap type="square"/>
          </v:shape>
        </w:pict>
      </w:r>
    </w:p>
    <w:p w:rsidR="00421A97" w:rsidRPr="00421A97" w:rsidRDefault="00421A97" w:rsidP="00421A97">
      <w:pPr>
        <w:spacing w:after="0" w:line="240" w:lineRule="auto"/>
        <w:jc w:val="both"/>
        <w:rPr>
          <w:rFonts w:eastAsia="Calibri" w:cs="Times New Roman"/>
          <w:b/>
          <w:bCs/>
          <w:szCs w:val="24"/>
          <w:lang w:val="en-GB"/>
        </w:rPr>
      </w:pPr>
      <w:r>
        <w:rPr>
          <w:rFonts w:eastAsia="Calibri" w:cs="Times New Roman"/>
          <w:b/>
          <w:bCs/>
          <w:szCs w:val="24"/>
          <w:lang w:val="en-GB"/>
        </w:rPr>
        <w:t>15.1</w:t>
      </w:r>
      <w:r>
        <w:rPr>
          <w:rFonts w:eastAsia="Calibri" w:cs="Times New Roman"/>
          <w:b/>
          <w:bCs/>
          <w:szCs w:val="24"/>
          <w:lang w:val="en-GB"/>
        </w:rPr>
        <w:tab/>
      </w:r>
      <w:r w:rsidRPr="00421A97">
        <w:rPr>
          <w:rFonts w:eastAsia="Calibri" w:cs="Times New Roman"/>
          <w:b/>
          <w:bCs/>
          <w:szCs w:val="24"/>
          <w:lang w:val="en-GB"/>
        </w:rPr>
        <w:t>Compliance with Legislation</w:t>
      </w:r>
    </w:p>
    <w:p w:rsidR="00421A97" w:rsidRPr="00421A97" w:rsidRDefault="00421A97" w:rsidP="00421A97">
      <w:pPr>
        <w:spacing w:after="0" w:line="240" w:lineRule="auto"/>
        <w:jc w:val="both"/>
        <w:rPr>
          <w:rFonts w:eastAsia="Calibri" w:cs="Times New Roman"/>
          <w:b/>
          <w:bCs/>
          <w:szCs w:val="24"/>
          <w:lang w:val="en-GB"/>
        </w:rPr>
      </w:pPr>
    </w:p>
    <w:p w:rsidR="00421A97" w:rsidRPr="00421A97" w:rsidRDefault="00421A97" w:rsidP="00421A97">
      <w:pPr>
        <w:spacing w:after="0" w:line="240" w:lineRule="auto"/>
        <w:jc w:val="both"/>
        <w:rPr>
          <w:rFonts w:eastAsia="Calibri" w:cs="Times New Roman"/>
          <w:szCs w:val="24"/>
        </w:rPr>
      </w:pPr>
      <w:r w:rsidRPr="00421A97">
        <w:rPr>
          <w:rFonts w:eastAsia="Calibri" w:cs="Times New Roman"/>
          <w:szCs w:val="24"/>
        </w:rPr>
        <w:t xml:space="preserve">Grants were allocated to 29 Statutory Bodies falling under the aegis of the Ministry of Arts and Culture to meet operating expenses and costs of capital projects. The Table </w:t>
      </w:r>
      <w:r>
        <w:rPr>
          <w:rFonts w:eastAsia="Calibri" w:cs="Times New Roman"/>
          <w:szCs w:val="24"/>
        </w:rPr>
        <w:t xml:space="preserve">15-1 </w:t>
      </w:r>
      <w:r w:rsidR="00F93A31">
        <w:rPr>
          <w:rFonts w:eastAsia="Calibri" w:cs="Times New Roman"/>
          <w:szCs w:val="24"/>
        </w:rPr>
        <w:t>shows g</w:t>
      </w:r>
      <w:r w:rsidRPr="00421A97">
        <w:rPr>
          <w:rFonts w:eastAsia="Calibri" w:cs="Times New Roman"/>
          <w:szCs w:val="24"/>
        </w:rPr>
        <w:t>rants disbursed by the Ministry to Statutory Bodies during the specified periods:</w:t>
      </w:r>
    </w:p>
    <w:p w:rsidR="00421A97" w:rsidRPr="00421A97" w:rsidRDefault="00421A97" w:rsidP="00DA2322">
      <w:pPr>
        <w:spacing w:after="0" w:line="240" w:lineRule="auto"/>
        <w:jc w:val="both"/>
        <w:rPr>
          <w:rFonts w:eastAsia="Calibri" w:cs="Times New Roman"/>
          <w:szCs w:val="24"/>
        </w:rPr>
      </w:pPr>
    </w:p>
    <w:p w:rsidR="00421A97" w:rsidRDefault="00421A97" w:rsidP="00DA2322">
      <w:pPr>
        <w:spacing w:after="0" w:line="240" w:lineRule="auto"/>
        <w:jc w:val="center"/>
        <w:rPr>
          <w:rFonts w:eastAsia="Calibri" w:cs="Times New Roman"/>
          <w:i/>
          <w:szCs w:val="24"/>
        </w:rPr>
      </w:pPr>
      <w:r>
        <w:rPr>
          <w:rFonts w:eastAsia="Calibri" w:cs="Times New Roman"/>
          <w:i/>
          <w:szCs w:val="24"/>
        </w:rPr>
        <w:t>Table 15-</w:t>
      </w:r>
      <w:proofErr w:type="gramStart"/>
      <w:r>
        <w:rPr>
          <w:rFonts w:eastAsia="Calibri" w:cs="Times New Roman"/>
          <w:i/>
          <w:szCs w:val="24"/>
        </w:rPr>
        <w:t xml:space="preserve">1  </w:t>
      </w:r>
      <w:r w:rsidRPr="00421A97">
        <w:rPr>
          <w:rFonts w:eastAsia="Calibri" w:cs="Times New Roman"/>
          <w:i/>
          <w:szCs w:val="24"/>
        </w:rPr>
        <w:t>Grants</w:t>
      </w:r>
      <w:proofErr w:type="gramEnd"/>
      <w:r w:rsidRPr="00421A97">
        <w:rPr>
          <w:rFonts w:eastAsia="Calibri" w:cs="Times New Roman"/>
          <w:i/>
          <w:szCs w:val="24"/>
        </w:rPr>
        <w:t xml:space="preserve"> to Statutory Bodies</w:t>
      </w:r>
    </w:p>
    <w:p w:rsidR="00B52B3C" w:rsidRDefault="00B52B3C" w:rsidP="00DA2322">
      <w:pPr>
        <w:spacing w:after="0" w:line="240" w:lineRule="auto"/>
        <w:jc w:val="center"/>
        <w:rPr>
          <w:rFonts w:eastAsia="Calibri" w:cs="Times New Roman"/>
          <w:i/>
          <w:szCs w:val="24"/>
        </w:rPr>
      </w:pPr>
    </w:p>
    <w:p w:rsidR="00B52B3C" w:rsidRDefault="00B52B3C" w:rsidP="00B52B3C">
      <w:pPr>
        <w:pBdr>
          <w:top w:val="single" w:sz="4" w:space="1" w:color="auto"/>
        </w:pBdr>
        <w:spacing w:after="0" w:line="240" w:lineRule="auto"/>
        <w:jc w:val="center"/>
        <w:rPr>
          <w:rFonts w:eastAsia="Calibri" w:cs="Times New Roman"/>
          <w:i/>
          <w:szCs w:val="24"/>
        </w:rPr>
      </w:pPr>
    </w:p>
    <w:tbl>
      <w:tblPr>
        <w:tblW w:w="7095" w:type="dxa"/>
        <w:jc w:val="center"/>
        <w:tblLook w:val="04A0" w:firstRow="1" w:lastRow="0" w:firstColumn="1" w:lastColumn="0" w:noHBand="0" w:noVBand="1"/>
      </w:tblPr>
      <w:tblGrid>
        <w:gridCol w:w="2967"/>
        <w:gridCol w:w="1416"/>
        <w:gridCol w:w="1296"/>
        <w:gridCol w:w="1416"/>
      </w:tblGrid>
      <w:tr w:rsidR="00B52B3C" w:rsidRPr="00421A97" w:rsidTr="00F93A31">
        <w:trPr>
          <w:trHeight w:val="20"/>
          <w:jc w:val="center"/>
        </w:trPr>
        <w:tc>
          <w:tcPr>
            <w:tcW w:w="2967" w:type="dxa"/>
            <w:noWrap/>
            <w:tcMar>
              <w:bottom w:w="142" w:type="dxa"/>
            </w:tcMar>
            <w:vAlign w:val="bottom"/>
            <w:hideMark/>
          </w:tcPr>
          <w:p w:rsidR="00B52B3C" w:rsidRPr="00421A97" w:rsidRDefault="00B52B3C" w:rsidP="00421A97">
            <w:pPr>
              <w:spacing w:after="100" w:afterAutospacing="1" w:line="240" w:lineRule="auto"/>
              <w:jc w:val="both"/>
              <w:rPr>
                <w:rFonts w:eastAsia="Calibri" w:cs="Times New Roman"/>
                <w:szCs w:val="24"/>
              </w:rPr>
            </w:pPr>
            <w:r w:rsidRPr="00421A97">
              <w:rPr>
                <w:rFonts w:eastAsia="Calibri" w:cs="Times New Roman"/>
                <w:b/>
                <w:bCs/>
                <w:szCs w:val="24"/>
              </w:rPr>
              <w:t>Financial Year</w:t>
            </w:r>
            <w:r w:rsidRPr="00421A97">
              <w:rPr>
                <w:rFonts w:eastAsia="Calibri" w:cs="Times New Roman"/>
                <w:szCs w:val="24"/>
              </w:rPr>
              <w:t> </w:t>
            </w:r>
          </w:p>
        </w:tc>
        <w:tc>
          <w:tcPr>
            <w:tcW w:w="1416" w:type="dxa"/>
            <w:tcMar>
              <w:bottom w:w="142" w:type="dxa"/>
            </w:tcMar>
            <w:vAlign w:val="bottom"/>
            <w:hideMark/>
          </w:tcPr>
          <w:p w:rsidR="00B52B3C" w:rsidRPr="00421A97" w:rsidRDefault="00B52B3C" w:rsidP="00421A97">
            <w:pPr>
              <w:spacing w:after="0" w:line="240" w:lineRule="auto"/>
              <w:jc w:val="center"/>
              <w:rPr>
                <w:rFonts w:eastAsia="Calibri" w:cs="Times New Roman"/>
                <w:b/>
                <w:bCs/>
                <w:szCs w:val="24"/>
              </w:rPr>
            </w:pPr>
            <w:r w:rsidRPr="00421A97">
              <w:rPr>
                <w:rFonts w:eastAsia="Calibri" w:cs="Times New Roman"/>
                <w:b/>
                <w:bCs/>
                <w:szCs w:val="24"/>
              </w:rPr>
              <w:t>Recurrent Grant</w:t>
            </w:r>
          </w:p>
          <w:p w:rsidR="00B52B3C" w:rsidRPr="00421A97" w:rsidRDefault="00B52B3C" w:rsidP="00421A97">
            <w:pPr>
              <w:spacing w:after="0" w:line="240" w:lineRule="auto"/>
              <w:jc w:val="center"/>
              <w:rPr>
                <w:rFonts w:eastAsia="Calibri" w:cs="Times New Roman"/>
                <w:b/>
                <w:bCs/>
                <w:szCs w:val="24"/>
              </w:rPr>
            </w:pPr>
            <w:r w:rsidRPr="00421A97">
              <w:rPr>
                <w:rFonts w:eastAsia="Calibri" w:cs="Times New Roman"/>
                <w:b/>
                <w:bCs/>
                <w:szCs w:val="24"/>
              </w:rPr>
              <w:t>Rs</w:t>
            </w:r>
          </w:p>
        </w:tc>
        <w:tc>
          <w:tcPr>
            <w:tcW w:w="1296" w:type="dxa"/>
            <w:tcMar>
              <w:bottom w:w="142" w:type="dxa"/>
            </w:tcMar>
            <w:vAlign w:val="bottom"/>
            <w:hideMark/>
          </w:tcPr>
          <w:p w:rsidR="00B52B3C" w:rsidRPr="00421A97" w:rsidRDefault="00B52B3C" w:rsidP="00421A97">
            <w:pPr>
              <w:spacing w:after="0" w:line="240" w:lineRule="auto"/>
              <w:jc w:val="center"/>
              <w:rPr>
                <w:rFonts w:eastAsia="Calibri" w:cs="Times New Roman"/>
                <w:b/>
                <w:bCs/>
                <w:szCs w:val="24"/>
              </w:rPr>
            </w:pPr>
            <w:r w:rsidRPr="00421A97">
              <w:rPr>
                <w:rFonts w:eastAsia="Calibri" w:cs="Times New Roman"/>
                <w:b/>
                <w:bCs/>
                <w:szCs w:val="24"/>
              </w:rPr>
              <w:t>Capital Grant</w:t>
            </w:r>
          </w:p>
          <w:p w:rsidR="00B52B3C" w:rsidRPr="00421A97" w:rsidRDefault="00B52B3C" w:rsidP="00421A97">
            <w:pPr>
              <w:spacing w:after="0" w:line="240" w:lineRule="auto"/>
              <w:jc w:val="center"/>
              <w:rPr>
                <w:rFonts w:eastAsia="Calibri" w:cs="Times New Roman"/>
                <w:b/>
                <w:bCs/>
                <w:szCs w:val="24"/>
              </w:rPr>
            </w:pPr>
            <w:r w:rsidRPr="00421A97">
              <w:rPr>
                <w:rFonts w:eastAsia="Calibri" w:cs="Times New Roman"/>
                <w:b/>
                <w:bCs/>
                <w:szCs w:val="24"/>
              </w:rPr>
              <w:t>Rs</w:t>
            </w:r>
          </w:p>
        </w:tc>
        <w:tc>
          <w:tcPr>
            <w:tcW w:w="1416" w:type="dxa"/>
            <w:tcMar>
              <w:bottom w:w="142" w:type="dxa"/>
            </w:tcMar>
            <w:hideMark/>
          </w:tcPr>
          <w:p w:rsidR="00B52B3C" w:rsidRPr="00421A97" w:rsidRDefault="00B52B3C" w:rsidP="00F93A31">
            <w:pPr>
              <w:spacing w:after="0" w:line="240" w:lineRule="auto"/>
              <w:jc w:val="center"/>
              <w:rPr>
                <w:rFonts w:eastAsia="Calibri" w:cs="Times New Roman"/>
                <w:b/>
                <w:bCs/>
                <w:szCs w:val="24"/>
              </w:rPr>
            </w:pPr>
            <w:r w:rsidRPr="00421A97">
              <w:rPr>
                <w:rFonts w:eastAsia="Calibri" w:cs="Times New Roman"/>
                <w:b/>
                <w:bCs/>
                <w:szCs w:val="24"/>
              </w:rPr>
              <w:t>Total</w:t>
            </w:r>
          </w:p>
          <w:p w:rsidR="00B52B3C" w:rsidRPr="00421A97" w:rsidRDefault="00B52B3C" w:rsidP="00421A97">
            <w:pPr>
              <w:spacing w:after="0" w:line="240" w:lineRule="auto"/>
              <w:jc w:val="center"/>
              <w:rPr>
                <w:rFonts w:eastAsia="Calibri" w:cs="Times New Roman"/>
                <w:b/>
                <w:bCs/>
                <w:szCs w:val="24"/>
              </w:rPr>
            </w:pPr>
            <w:r w:rsidRPr="00421A97">
              <w:rPr>
                <w:rFonts w:eastAsia="Calibri" w:cs="Times New Roman"/>
                <w:b/>
                <w:bCs/>
                <w:szCs w:val="24"/>
              </w:rPr>
              <w:t>Rs</w:t>
            </w:r>
          </w:p>
        </w:tc>
      </w:tr>
      <w:tr w:rsidR="00B52B3C" w:rsidRPr="00421A97" w:rsidTr="00B52B3C">
        <w:trPr>
          <w:trHeight w:val="20"/>
          <w:jc w:val="center"/>
        </w:trPr>
        <w:tc>
          <w:tcPr>
            <w:tcW w:w="2967" w:type="dxa"/>
            <w:tcMar>
              <w:bottom w:w="142" w:type="dxa"/>
            </w:tcMar>
            <w:hideMark/>
          </w:tcPr>
          <w:p w:rsidR="00B52B3C" w:rsidRPr="00421A97" w:rsidRDefault="00B52B3C" w:rsidP="00542912">
            <w:pPr>
              <w:spacing w:after="0" w:line="240" w:lineRule="auto"/>
              <w:jc w:val="both"/>
              <w:rPr>
                <w:rFonts w:eastAsia="Calibri" w:cs="Times New Roman"/>
                <w:szCs w:val="24"/>
              </w:rPr>
            </w:pPr>
            <w:r w:rsidRPr="00421A97">
              <w:rPr>
                <w:rFonts w:eastAsia="Calibri" w:cs="Times New Roman"/>
                <w:szCs w:val="24"/>
              </w:rPr>
              <w:t>2016-17</w:t>
            </w:r>
          </w:p>
          <w:p w:rsidR="00B52B3C" w:rsidRPr="00421A97" w:rsidRDefault="00B52B3C" w:rsidP="00542912">
            <w:pPr>
              <w:spacing w:after="0" w:line="240" w:lineRule="auto"/>
              <w:jc w:val="both"/>
              <w:rPr>
                <w:rFonts w:eastAsia="Calibri" w:cs="Times New Roman"/>
                <w:szCs w:val="24"/>
              </w:rPr>
            </w:pPr>
            <w:r w:rsidRPr="00421A97">
              <w:rPr>
                <w:rFonts w:eastAsia="Calibri" w:cs="Times New Roman"/>
                <w:szCs w:val="24"/>
              </w:rPr>
              <w:t>2015-16</w:t>
            </w:r>
          </w:p>
        </w:tc>
        <w:tc>
          <w:tcPr>
            <w:tcW w:w="1416" w:type="dxa"/>
            <w:tcMar>
              <w:bottom w:w="142" w:type="dxa"/>
            </w:tcMar>
            <w:hideMark/>
          </w:tcPr>
          <w:p w:rsidR="00B52B3C" w:rsidRPr="00421A97" w:rsidRDefault="00B52B3C" w:rsidP="00542912">
            <w:pPr>
              <w:spacing w:after="0" w:line="240" w:lineRule="auto"/>
              <w:jc w:val="right"/>
              <w:rPr>
                <w:rFonts w:eastAsia="Calibri" w:cs="Times New Roman"/>
                <w:szCs w:val="24"/>
              </w:rPr>
            </w:pPr>
            <w:r w:rsidRPr="00421A97">
              <w:rPr>
                <w:rFonts w:eastAsia="Calibri" w:cs="Times New Roman"/>
                <w:szCs w:val="24"/>
              </w:rPr>
              <w:t>176,298,422</w:t>
            </w:r>
          </w:p>
          <w:p w:rsidR="00B52B3C" w:rsidRPr="00421A97" w:rsidRDefault="00B52B3C" w:rsidP="00542912">
            <w:pPr>
              <w:spacing w:after="0" w:line="240" w:lineRule="auto"/>
              <w:jc w:val="right"/>
              <w:rPr>
                <w:rFonts w:eastAsia="Calibri" w:cs="Times New Roman"/>
                <w:szCs w:val="24"/>
              </w:rPr>
            </w:pPr>
            <w:r w:rsidRPr="00421A97">
              <w:rPr>
                <w:rFonts w:eastAsia="Calibri" w:cs="Times New Roman"/>
                <w:szCs w:val="24"/>
              </w:rPr>
              <w:t>172,664,361</w:t>
            </w:r>
          </w:p>
        </w:tc>
        <w:tc>
          <w:tcPr>
            <w:tcW w:w="1296" w:type="dxa"/>
            <w:tcMar>
              <w:bottom w:w="142" w:type="dxa"/>
            </w:tcMar>
            <w:hideMark/>
          </w:tcPr>
          <w:p w:rsidR="00B52B3C" w:rsidRPr="00421A97" w:rsidRDefault="00B52B3C" w:rsidP="00542912">
            <w:pPr>
              <w:spacing w:after="0" w:line="240" w:lineRule="auto"/>
              <w:jc w:val="right"/>
              <w:rPr>
                <w:rFonts w:eastAsia="Calibri" w:cs="Times New Roman"/>
                <w:szCs w:val="24"/>
              </w:rPr>
            </w:pPr>
            <w:r w:rsidRPr="00421A97">
              <w:rPr>
                <w:rFonts w:eastAsia="Calibri" w:cs="Times New Roman"/>
                <w:szCs w:val="24"/>
              </w:rPr>
              <w:t>45,876,830</w:t>
            </w:r>
          </w:p>
          <w:p w:rsidR="00B52B3C" w:rsidRPr="00421A97" w:rsidRDefault="00B52B3C" w:rsidP="00542912">
            <w:pPr>
              <w:spacing w:after="0" w:line="240" w:lineRule="auto"/>
              <w:jc w:val="right"/>
              <w:rPr>
                <w:rFonts w:eastAsia="Calibri" w:cs="Times New Roman"/>
                <w:szCs w:val="24"/>
              </w:rPr>
            </w:pPr>
            <w:r w:rsidRPr="00421A97">
              <w:rPr>
                <w:rFonts w:eastAsia="Calibri" w:cs="Times New Roman"/>
                <w:szCs w:val="24"/>
              </w:rPr>
              <w:t>14,786,169</w:t>
            </w:r>
          </w:p>
        </w:tc>
        <w:tc>
          <w:tcPr>
            <w:tcW w:w="1416" w:type="dxa"/>
            <w:tcMar>
              <w:bottom w:w="142" w:type="dxa"/>
            </w:tcMar>
            <w:hideMark/>
          </w:tcPr>
          <w:p w:rsidR="00B52B3C" w:rsidRPr="00421A97" w:rsidRDefault="00B52B3C" w:rsidP="00542912">
            <w:pPr>
              <w:spacing w:after="0" w:line="240" w:lineRule="auto"/>
              <w:jc w:val="right"/>
              <w:rPr>
                <w:rFonts w:eastAsia="Calibri" w:cs="Times New Roman"/>
                <w:szCs w:val="24"/>
              </w:rPr>
            </w:pPr>
            <w:r w:rsidRPr="00421A97">
              <w:rPr>
                <w:rFonts w:eastAsia="Calibri" w:cs="Times New Roman"/>
                <w:szCs w:val="24"/>
              </w:rPr>
              <w:t>222,175,252</w:t>
            </w:r>
          </w:p>
          <w:p w:rsidR="00B52B3C" w:rsidRPr="00421A97" w:rsidRDefault="00B52B3C" w:rsidP="00542912">
            <w:pPr>
              <w:spacing w:after="0" w:line="240" w:lineRule="auto"/>
              <w:jc w:val="right"/>
              <w:rPr>
                <w:rFonts w:eastAsia="Calibri" w:cs="Times New Roman"/>
                <w:szCs w:val="24"/>
              </w:rPr>
            </w:pPr>
            <w:r w:rsidRPr="00421A97">
              <w:rPr>
                <w:rFonts w:eastAsia="Calibri" w:cs="Times New Roman"/>
                <w:szCs w:val="24"/>
              </w:rPr>
              <w:t>187,450,530</w:t>
            </w:r>
          </w:p>
        </w:tc>
      </w:tr>
      <w:tr w:rsidR="00B52B3C" w:rsidRPr="00421A97" w:rsidTr="00B52B3C">
        <w:trPr>
          <w:trHeight w:val="20"/>
          <w:jc w:val="center"/>
        </w:trPr>
        <w:tc>
          <w:tcPr>
            <w:tcW w:w="2967" w:type="dxa"/>
            <w:tcMar>
              <w:bottom w:w="142" w:type="dxa"/>
            </w:tcMar>
            <w:hideMark/>
          </w:tcPr>
          <w:p w:rsidR="00B52B3C" w:rsidRPr="00421A97" w:rsidRDefault="00B52B3C" w:rsidP="00421A97">
            <w:pPr>
              <w:spacing w:before="60" w:after="60" w:line="240" w:lineRule="auto"/>
              <w:jc w:val="both"/>
              <w:rPr>
                <w:rFonts w:eastAsia="Calibri" w:cs="Times New Roman"/>
                <w:szCs w:val="24"/>
              </w:rPr>
            </w:pPr>
            <w:r w:rsidRPr="00421A97">
              <w:rPr>
                <w:rFonts w:eastAsia="Calibri" w:cs="Times New Roman"/>
                <w:szCs w:val="24"/>
              </w:rPr>
              <w:t>Six months to 30 June 2015</w:t>
            </w:r>
          </w:p>
        </w:tc>
        <w:tc>
          <w:tcPr>
            <w:tcW w:w="1416" w:type="dxa"/>
            <w:tcMar>
              <w:bottom w:w="142" w:type="dxa"/>
            </w:tcMar>
            <w:hideMark/>
          </w:tcPr>
          <w:p w:rsidR="00B52B3C" w:rsidRPr="00421A97" w:rsidRDefault="00B52B3C" w:rsidP="00421A97">
            <w:pPr>
              <w:spacing w:before="60" w:after="60" w:line="240" w:lineRule="auto"/>
              <w:jc w:val="right"/>
              <w:rPr>
                <w:rFonts w:eastAsia="Calibri" w:cs="Times New Roman"/>
                <w:szCs w:val="24"/>
              </w:rPr>
            </w:pPr>
            <w:r w:rsidRPr="00421A97">
              <w:rPr>
                <w:rFonts w:eastAsia="Calibri" w:cs="Times New Roman"/>
                <w:szCs w:val="24"/>
              </w:rPr>
              <w:t>83,521,822</w:t>
            </w:r>
          </w:p>
        </w:tc>
        <w:tc>
          <w:tcPr>
            <w:tcW w:w="1296" w:type="dxa"/>
            <w:tcMar>
              <w:bottom w:w="142" w:type="dxa"/>
            </w:tcMar>
            <w:hideMark/>
          </w:tcPr>
          <w:p w:rsidR="00B52B3C" w:rsidRPr="00421A97" w:rsidRDefault="00B52B3C" w:rsidP="00421A97">
            <w:pPr>
              <w:spacing w:before="60" w:after="60" w:line="240" w:lineRule="auto"/>
              <w:jc w:val="right"/>
              <w:rPr>
                <w:rFonts w:eastAsia="Calibri" w:cs="Times New Roman"/>
                <w:szCs w:val="24"/>
              </w:rPr>
            </w:pPr>
            <w:r w:rsidRPr="00421A97">
              <w:rPr>
                <w:rFonts w:eastAsia="Calibri" w:cs="Times New Roman"/>
                <w:szCs w:val="24"/>
              </w:rPr>
              <w:t>3,421,809</w:t>
            </w:r>
          </w:p>
        </w:tc>
        <w:tc>
          <w:tcPr>
            <w:tcW w:w="1416" w:type="dxa"/>
            <w:tcMar>
              <w:bottom w:w="142" w:type="dxa"/>
            </w:tcMar>
            <w:hideMark/>
          </w:tcPr>
          <w:p w:rsidR="00B52B3C" w:rsidRPr="00421A97" w:rsidRDefault="00B52B3C" w:rsidP="00421A97">
            <w:pPr>
              <w:spacing w:before="60" w:after="60" w:line="240" w:lineRule="auto"/>
              <w:jc w:val="right"/>
              <w:rPr>
                <w:rFonts w:eastAsia="Calibri" w:cs="Times New Roman"/>
                <w:szCs w:val="24"/>
              </w:rPr>
            </w:pPr>
            <w:r w:rsidRPr="00421A97">
              <w:rPr>
                <w:rFonts w:eastAsia="Calibri" w:cs="Times New Roman"/>
                <w:szCs w:val="24"/>
              </w:rPr>
              <w:t>86,943,631</w:t>
            </w:r>
          </w:p>
        </w:tc>
      </w:tr>
      <w:tr w:rsidR="00B52B3C" w:rsidRPr="00421A97" w:rsidTr="00B52B3C">
        <w:trPr>
          <w:trHeight w:val="20"/>
          <w:jc w:val="center"/>
        </w:trPr>
        <w:tc>
          <w:tcPr>
            <w:tcW w:w="2967" w:type="dxa"/>
            <w:tcMar>
              <w:bottom w:w="142" w:type="dxa"/>
            </w:tcMar>
            <w:hideMark/>
          </w:tcPr>
          <w:p w:rsidR="00B52B3C" w:rsidRPr="00421A97" w:rsidRDefault="00B52B3C" w:rsidP="00421A97">
            <w:pPr>
              <w:spacing w:before="60" w:after="60" w:line="240" w:lineRule="auto"/>
              <w:jc w:val="both"/>
              <w:rPr>
                <w:rFonts w:eastAsia="Calibri" w:cs="Times New Roman"/>
                <w:szCs w:val="24"/>
              </w:rPr>
            </w:pPr>
            <w:r w:rsidRPr="00421A97">
              <w:rPr>
                <w:rFonts w:eastAsia="Calibri" w:cs="Times New Roman"/>
                <w:szCs w:val="24"/>
              </w:rPr>
              <w:t>Year 2014</w:t>
            </w:r>
          </w:p>
        </w:tc>
        <w:tc>
          <w:tcPr>
            <w:tcW w:w="1416" w:type="dxa"/>
            <w:tcMar>
              <w:bottom w:w="142" w:type="dxa"/>
            </w:tcMar>
            <w:hideMark/>
          </w:tcPr>
          <w:p w:rsidR="00B52B3C" w:rsidRPr="00421A97" w:rsidRDefault="00B52B3C" w:rsidP="00421A97">
            <w:pPr>
              <w:spacing w:before="60" w:after="60" w:line="240" w:lineRule="auto"/>
              <w:jc w:val="right"/>
              <w:rPr>
                <w:rFonts w:eastAsia="Calibri" w:cs="Times New Roman"/>
                <w:szCs w:val="24"/>
              </w:rPr>
            </w:pPr>
            <w:r w:rsidRPr="00421A97">
              <w:rPr>
                <w:rFonts w:eastAsia="Calibri" w:cs="Times New Roman"/>
                <w:szCs w:val="24"/>
              </w:rPr>
              <w:t>156,672,291</w:t>
            </w:r>
          </w:p>
        </w:tc>
        <w:tc>
          <w:tcPr>
            <w:tcW w:w="1296" w:type="dxa"/>
            <w:tcMar>
              <w:bottom w:w="142" w:type="dxa"/>
            </w:tcMar>
            <w:hideMark/>
          </w:tcPr>
          <w:p w:rsidR="00B52B3C" w:rsidRPr="00421A97" w:rsidRDefault="00B52B3C" w:rsidP="00421A97">
            <w:pPr>
              <w:spacing w:before="60" w:after="60" w:line="240" w:lineRule="auto"/>
              <w:jc w:val="right"/>
              <w:rPr>
                <w:rFonts w:eastAsia="Calibri" w:cs="Times New Roman"/>
                <w:szCs w:val="24"/>
              </w:rPr>
            </w:pPr>
            <w:r w:rsidRPr="00421A97">
              <w:rPr>
                <w:rFonts w:eastAsia="Calibri" w:cs="Times New Roman"/>
                <w:szCs w:val="24"/>
              </w:rPr>
              <w:t>23,323,134</w:t>
            </w:r>
          </w:p>
        </w:tc>
        <w:tc>
          <w:tcPr>
            <w:tcW w:w="1416" w:type="dxa"/>
            <w:tcMar>
              <w:bottom w:w="142" w:type="dxa"/>
            </w:tcMar>
            <w:hideMark/>
          </w:tcPr>
          <w:p w:rsidR="00B52B3C" w:rsidRPr="00421A97" w:rsidRDefault="00B52B3C" w:rsidP="00421A97">
            <w:pPr>
              <w:spacing w:before="60" w:after="60" w:line="240" w:lineRule="auto"/>
              <w:jc w:val="right"/>
              <w:rPr>
                <w:rFonts w:eastAsia="Calibri" w:cs="Times New Roman"/>
                <w:szCs w:val="24"/>
              </w:rPr>
            </w:pPr>
            <w:r w:rsidRPr="00421A97">
              <w:rPr>
                <w:rFonts w:eastAsia="Calibri" w:cs="Times New Roman"/>
                <w:szCs w:val="24"/>
              </w:rPr>
              <w:t>179,995,425</w:t>
            </w:r>
          </w:p>
        </w:tc>
      </w:tr>
      <w:tr w:rsidR="00B52B3C" w:rsidRPr="00421A97" w:rsidTr="00B52B3C">
        <w:trPr>
          <w:trHeight w:val="20"/>
          <w:jc w:val="center"/>
        </w:trPr>
        <w:tc>
          <w:tcPr>
            <w:tcW w:w="2967" w:type="dxa"/>
            <w:vAlign w:val="bottom"/>
            <w:hideMark/>
          </w:tcPr>
          <w:p w:rsidR="00B52B3C" w:rsidRPr="00421A97" w:rsidRDefault="00B52B3C" w:rsidP="00421A97">
            <w:pPr>
              <w:spacing w:after="100" w:afterAutospacing="1" w:line="240" w:lineRule="auto"/>
              <w:jc w:val="both"/>
              <w:rPr>
                <w:rFonts w:eastAsia="Calibri" w:cs="Times New Roman"/>
                <w:b/>
                <w:bCs/>
                <w:szCs w:val="24"/>
              </w:rPr>
            </w:pPr>
            <w:r w:rsidRPr="00421A97">
              <w:rPr>
                <w:rFonts w:eastAsia="Calibri" w:cs="Times New Roman"/>
                <w:b/>
                <w:bCs/>
                <w:szCs w:val="24"/>
              </w:rPr>
              <w:t>Total</w:t>
            </w:r>
          </w:p>
        </w:tc>
        <w:tc>
          <w:tcPr>
            <w:tcW w:w="1416" w:type="dxa"/>
            <w:vAlign w:val="bottom"/>
            <w:hideMark/>
          </w:tcPr>
          <w:p w:rsidR="00B52B3C" w:rsidRPr="00421A97" w:rsidRDefault="00B52B3C" w:rsidP="00421A97">
            <w:pPr>
              <w:spacing w:after="100" w:afterAutospacing="1" w:line="240" w:lineRule="auto"/>
              <w:jc w:val="right"/>
              <w:rPr>
                <w:rFonts w:eastAsia="Calibri" w:cs="Times New Roman"/>
                <w:b/>
                <w:bCs/>
                <w:szCs w:val="24"/>
              </w:rPr>
            </w:pPr>
            <w:r w:rsidRPr="00421A97">
              <w:rPr>
                <w:rFonts w:eastAsia="Calibri" w:cs="Times New Roman"/>
                <w:b/>
                <w:bCs/>
                <w:szCs w:val="24"/>
              </w:rPr>
              <w:t>589,156,896</w:t>
            </w:r>
          </w:p>
        </w:tc>
        <w:tc>
          <w:tcPr>
            <w:tcW w:w="1296" w:type="dxa"/>
            <w:vAlign w:val="bottom"/>
            <w:hideMark/>
          </w:tcPr>
          <w:p w:rsidR="00B52B3C" w:rsidRPr="00421A97" w:rsidRDefault="00B52B3C" w:rsidP="00421A97">
            <w:pPr>
              <w:spacing w:after="100" w:afterAutospacing="1" w:line="240" w:lineRule="auto"/>
              <w:jc w:val="right"/>
              <w:rPr>
                <w:rFonts w:eastAsia="Calibri" w:cs="Times New Roman"/>
                <w:b/>
                <w:bCs/>
                <w:szCs w:val="24"/>
              </w:rPr>
            </w:pPr>
            <w:r w:rsidRPr="00421A97">
              <w:rPr>
                <w:rFonts w:eastAsia="Calibri" w:cs="Times New Roman"/>
                <w:b/>
                <w:bCs/>
                <w:szCs w:val="24"/>
              </w:rPr>
              <w:t>87,407,942</w:t>
            </w:r>
          </w:p>
        </w:tc>
        <w:tc>
          <w:tcPr>
            <w:tcW w:w="1416" w:type="dxa"/>
            <w:vAlign w:val="bottom"/>
            <w:hideMark/>
          </w:tcPr>
          <w:p w:rsidR="00B52B3C" w:rsidRPr="00421A97" w:rsidRDefault="00B52B3C" w:rsidP="00421A97">
            <w:pPr>
              <w:spacing w:after="100" w:afterAutospacing="1" w:line="240" w:lineRule="auto"/>
              <w:jc w:val="right"/>
              <w:rPr>
                <w:rFonts w:eastAsia="Calibri" w:cs="Times New Roman"/>
                <w:b/>
                <w:bCs/>
                <w:szCs w:val="24"/>
              </w:rPr>
            </w:pPr>
            <w:r w:rsidRPr="00421A97">
              <w:rPr>
                <w:rFonts w:eastAsia="Calibri" w:cs="Times New Roman"/>
                <w:b/>
                <w:bCs/>
                <w:szCs w:val="24"/>
              </w:rPr>
              <w:t>676,564,838</w:t>
            </w:r>
          </w:p>
        </w:tc>
      </w:tr>
    </w:tbl>
    <w:p w:rsidR="00421A97" w:rsidRPr="00421A97" w:rsidRDefault="00421A97" w:rsidP="00DA2322">
      <w:pPr>
        <w:pBdr>
          <w:bottom w:val="single" w:sz="4" w:space="1" w:color="auto"/>
        </w:pBdr>
        <w:spacing w:after="0" w:line="240" w:lineRule="auto"/>
        <w:jc w:val="both"/>
        <w:rPr>
          <w:rFonts w:eastAsia="Calibri" w:cs="Times New Roman"/>
          <w:szCs w:val="24"/>
        </w:rPr>
      </w:pPr>
    </w:p>
    <w:p w:rsidR="00421A97" w:rsidRPr="00421A97" w:rsidRDefault="00421A97" w:rsidP="00421A97">
      <w:pPr>
        <w:spacing w:after="0" w:line="240" w:lineRule="auto"/>
        <w:jc w:val="both"/>
        <w:rPr>
          <w:rFonts w:eastAsia="Calibri" w:cs="Times New Roman"/>
          <w:szCs w:val="24"/>
        </w:rPr>
      </w:pPr>
    </w:p>
    <w:p w:rsidR="00421A97" w:rsidRPr="00421A97" w:rsidRDefault="00421A97" w:rsidP="00421A97">
      <w:pPr>
        <w:spacing w:after="0" w:line="240" w:lineRule="auto"/>
        <w:jc w:val="both"/>
        <w:rPr>
          <w:rFonts w:eastAsia="Calibri" w:cs="Times New Roman"/>
          <w:szCs w:val="24"/>
        </w:rPr>
      </w:pPr>
    </w:p>
    <w:p w:rsidR="00421A97" w:rsidRPr="00421A97" w:rsidRDefault="00421A97" w:rsidP="00421A97">
      <w:pPr>
        <w:spacing w:after="0" w:line="240" w:lineRule="auto"/>
        <w:jc w:val="both"/>
        <w:rPr>
          <w:rFonts w:eastAsia="Calibri" w:cs="Times New Roman"/>
          <w:szCs w:val="24"/>
        </w:rPr>
      </w:pPr>
      <w:r w:rsidRPr="00421A97">
        <w:rPr>
          <w:rFonts w:eastAsia="Calibri" w:cs="Times New Roman"/>
          <w:szCs w:val="24"/>
        </w:rPr>
        <w:t xml:space="preserve">Of the Recurrent Grants disbursed in the years 2015-16 and 2016-17, grants totalling </w:t>
      </w:r>
      <w:r w:rsidRPr="00421A97">
        <w:rPr>
          <w:rFonts w:eastAsia="Calibri" w:cs="Times New Roman"/>
          <w:szCs w:val="24"/>
        </w:rPr>
        <w:br/>
        <w:t>Rs 14,320,000 and Rs 14,238,300 respectively were made to Speaking Unions</w:t>
      </w:r>
      <w:r w:rsidR="00013F17">
        <w:rPr>
          <w:rFonts w:eastAsia="Calibri" w:cs="Times New Roman"/>
          <w:szCs w:val="24"/>
        </w:rPr>
        <w:t>.</w:t>
      </w:r>
      <w:r w:rsidRPr="00421A97">
        <w:rPr>
          <w:rFonts w:eastAsia="Calibri" w:cs="Times New Roman"/>
          <w:szCs w:val="24"/>
        </w:rPr>
        <w:t xml:space="preserve"> </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i/>
          <w:iCs/>
          <w:szCs w:val="24"/>
          <w:lang w:val="en-GB"/>
        </w:rPr>
      </w:pPr>
      <w:r w:rsidRPr="00421A97">
        <w:rPr>
          <w:rFonts w:eastAsia="Calibri" w:cs="Times New Roman"/>
          <w:i/>
          <w:iCs/>
          <w:szCs w:val="24"/>
          <w:lang w:val="en-GB"/>
        </w:rPr>
        <w:t>Submission of Audit Accounts by Statutory Bodies</w:t>
      </w:r>
    </w:p>
    <w:p w:rsidR="00421A97" w:rsidRPr="00421A97" w:rsidRDefault="00421A97" w:rsidP="00421A97">
      <w:pPr>
        <w:autoSpaceDE w:val="0"/>
        <w:autoSpaceDN w:val="0"/>
        <w:adjustRightInd w:val="0"/>
        <w:spacing w:after="0" w:line="240" w:lineRule="auto"/>
        <w:jc w:val="both"/>
        <w:rPr>
          <w:rFonts w:eastAsia="Calibri" w:cs="Times New Roman"/>
          <w:szCs w:val="24"/>
          <w:lang w:val="en-GB"/>
        </w:rPr>
      </w:pPr>
    </w:p>
    <w:p w:rsidR="00421A97" w:rsidRPr="00421A97" w:rsidRDefault="00421A97" w:rsidP="00421A97">
      <w:pPr>
        <w:autoSpaceDE w:val="0"/>
        <w:autoSpaceDN w:val="0"/>
        <w:adjustRightInd w:val="0"/>
        <w:spacing w:after="0" w:line="240" w:lineRule="auto"/>
        <w:jc w:val="both"/>
        <w:rPr>
          <w:rFonts w:cs="Times New Roman"/>
          <w:szCs w:val="24"/>
        </w:rPr>
      </w:pPr>
      <w:r w:rsidRPr="00421A97">
        <w:rPr>
          <w:rFonts w:eastAsia="Calibri" w:cs="Times New Roman"/>
          <w:szCs w:val="24"/>
          <w:lang w:val="en-GB"/>
        </w:rPr>
        <w:t>Among the conditions of the Grant Memorandum signed between the Ministry and the recipients of the grant, the latter shall submit to the Minister their annual report along with their audited financial statements</w:t>
      </w:r>
      <w:r w:rsidRPr="00421A97">
        <w:rPr>
          <w:rFonts w:cs="Times New Roman"/>
          <w:szCs w:val="24"/>
        </w:rPr>
        <w:t xml:space="preserve"> not later than one month from the date of receipt of their audited statements. The Minister shall then lay these two documents before the National Assembly.</w:t>
      </w:r>
    </w:p>
    <w:p w:rsidR="00421A97" w:rsidRPr="00421A97" w:rsidRDefault="00421A97" w:rsidP="00421A97">
      <w:pPr>
        <w:spacing w:after="0" w:line="240" w:lineRule="auto"/>
        <w:jc w:val="both"/>
        <w:rPr>
          <w:rFonts w:eastAsia="Calibri" w:cs="Times New Roman"/>
          <w:szCs w:val="24"/>
        </w:rPr>
      </w:pPr>
    </w:p>
    <w:p w:rsidR="00421A97" w:rsidRPr="00421A97" w:rsidRDefault="00421A97" w:rsidP="00421A97">
      <w:pPr>
        <w:spacing w:after="0" w:line="240" w:lineRule="auto"/>
        <w:jc w:val="both"/>
        <w:rPr>
          <w:rFonts w:eastAsia="Calibri" w:cs="Times New Roman"/>
          <w:szCs w:val="24"/>
        </w:rPr>
      </w:pPr>
      <w:r w:rsidRPr="00421A97">
        <w:rPr>
          <w:rFonts w:eastAsia="Calibri" w:cs="Times New Roman"/>
          <w:szCs w:val="24"/>
        </w:rPr>
        <w:t>As of October 2017, 10 Statutory Bodies had not submitted their audited statements to the Ministry for a number of years. Significant</w:t>
      </w:r>
      <w:r w:rsidRPr="00421A97">
        <w:rPr>
          <w:rFonts w:eastAsia="Calibri" w:cs="Times New Roman"/>
          <w:b/>
          <w:i/>
          <w:szCs w:val="24"/>
        </w:rPr>
        <w:t xml:space="preserve"> </w:t>
      </w:r>
      <w:r w:rsidRPr="00421A97">
        <w:rPr>
          <w:rFonts w:eastAsia="Calibri" w:cs="Times New Roman"/>
          <w:szCs w:val="24"/>
        </w:rPr>
        <w:t>public funds are remaining outside the framework of public accountability.</w:t>
      </w:r>
    </w:p>
    <w:p w:rsidR="00421A97" w:rsidRPr="00421A97" w:rsidRDefault="00421A97" w:rsidP="00421A97">
      <w:pPr>
        <w:spacing w:after="0" w:line="240" w:lineRule="auto"/>
        <w:jc w:val="both"/>
        <w:rPr>
          <w:rFonts w:eastAsia="Calibri" w:cs="Times New Roman"/>
          <w:szCs w:val="24"/>
        </w:rPr>
      </w:pPr>
    </w:p>
    <w:p w:rsidR="00421A97" w:rsidRPr="00421A97" w:rsidRDefault="00421A97" w:rsidP="00421A97">
      <w:pPr>
        <w:spacing w:after="0" w:line="240" w:lineRule="auto"/>
        <w:jc w:val="both"/>
        <w:rPr>
          <w:rFonts w:eastAsia="Calibri" w:cs="Times New Roman"/>
          <w:i/>
          <w:iCs/>
          <w:szCs w:val="24"/>
          <w:lang w:val="en-GB"/>
        </w:rPr>
      </w:pPr>
      <w:r w:rsidRPr="00421A97">
        <w:rPr>
          <w:rFonts w:eastAsia="Calibri" w:cs="Times New Roman"/>
          <w:i/>
          <w:iCs/>
          <w:szCs w:val="24"/>
          <w:lang w:val="en-GB"/>
        </w:rPr>
        <w:t>Audit of Accounts of Speaking Unions</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lang w:val="en-GB"/>
        </w:rPr>
        <w:t xml:space="preserve">The Acts governing 10 of the 11 Speaking Unions were amended in October 2015, specifically designating the Director of Audit as the auditor for the accounts of these Speaking Unions. It was agreed that the engagement of the Director of Audit should be for the financial statements with accounting periods starting on or after 1 January 2016. </w:t>
      </w:r>
    </w:p>
    <w:p w:rsidR="00005BC5" w:rsidRDefault="00005BC5">
      <w:pPr>
        <w:rPr>
          <w:rFonts w:eastAsia="Calibri" w:cs="Times New Roman"/>
          <w:szCs w:val="24"/>
          <w:lang w:val="en-GB"/>
        </w:rPr>
      </w:pPr>
      <w:r>
        <w:rPr>
          <w:rFonts w:eastAsia="Calibri" w:cs="Times New Roman"/>
          <w:szCs w:val="24"/>
          <w:lang w:val="en-GB"/>
        </w:rPr>
        <w:br w:type="page"/>
      </w: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lang w:val="en-GB"/>
        </w:rPr>
        <w:lastRenderedPageBreak/>
        <w:t>However, Grant Memoranda signed with three Speaking Unions for the financial years 2016-17 and 2017-18 allowed them to retain their former auditor for the audit of their accounts. Also, for one Speaking Union, the Grant Memorandum did not specify the name of the audit</w:t>
      </w:r>
      <w:r w:rsidR="00F93A31">
        <w:rPr>
          <w:rFonts w:eastAsia="Calibri" w:cs="Times New Roman"/>
          <w:szCs w:val="24"/>
          <w:lang w:val="en-GB"/>
        </w:rPr>
        <w:t>or for the two financial years</w:t>
      </w:r>
      <w:r w:rsidRPr="00421A97">
        <w:rPr>
          <w:rFonts w:eastAsia="Calibri" w:cs="Times New Roman"/>
          <w:szCs w:val="24"/>
          <w:lang w:val="en-GB"/>
        </w:rPr>
        <w:t>.</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i/>
          <w:iCs/>
          <w:szCs w:val="24"/>
          <w:lang w:val="en-GB"/>
        </w:rPr>
      </w:pPr>
      <w:r w:rsidRPr="00421A97">
        <w:rPr>
          <w:rFonts w:eastAsia="Calibri" w:cs="Times New Roman"/>
          <w:i/>
          <w:iCs/>
          <w:szCs w:val="24"/>
          <w:lang w:val="en-GB"/>
        </w:rPr>
        <w:t>Mauritian Cultural Centre Trust</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lang w:val="en-GB"/>
        </w:rPr>
        <w:t>The Board of the above Trust was dissolved in 2015 and had not been reconstituted since. Funds of some Rs 600,000 were however appropriated annually in favour of the Trust under the budget of the Ministry. The funds were used by the Ministry to meet expenditure in relation to two permanent employees of the dormant Trust. This may not be legally in order as per advice given by the Attorney General’s Office for a similar case in 2008.</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i/>
          <w:iCs/>
          <w:szCs w:val="24"/>
          <w:lang w:val="fr-FR"/>
        </w:rPr>
      </w:pPr>
      <w:r w:rsidRPr="00421A97">
        <w:rPr>
          <w:rFonts w:eastAsia="Calibri" w:cs="Times New Roman"/>
          <w:i/>
          <w:iCs/>
          <w:szCs w:val="24"/>
          <w:lang w:val="fr-FR"/>
        </w:rPr>
        <w:t>Centre De Lecture Publique et D’animation Culturelle (CELPAC)</w:t>
      </w:r>
    </w:p>
    <w:p w:rsidR="00421A97" w:rsidRPr="009F2297" w:rsidRDefault="00421A97" w:rsidP="00421A97">
      <w:pPr>
        <w:spacing w:after="0" w:line="240" w:lineRule="auto"/>
        <w:jc w:val="both"/>
        <w:rPr>
          <w:rFonts w:eastAsia="Calibri" w:cs="Times New Roman"/>
          <w:szCs w:val="24"/>
          <w:lang w:val="fr-FR"/>
        </w:rPr>
      </w:pP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lang w:val="en-GB"/>
        </w:rPr>
        <w:t>The Centre was established under the CELPAC Act 2009 and is managed by a Committee appointed by the Minister responsible for Arts and Culture. The costs of CELPAC staff are borne by the Ministry while other operating expenses are met from the Centre’s recurrent grant appropriated under the Ministry’s budget.</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rPr>
        <w:t xml:space="preserve">Expenses charged to item “Grants – CELPAC” amounted to Rs 2,812,715 and </w:t>
      </w:r>
      <w:r w:rsidR="00B52B3C">
        <w:rPr>
          <w:rFonts w:eastAsia="Calibri" w:cs="Times New Roman"/>
          <w:szCs w:val="24"/>
        </w:rPr>
        <w:br/>
      </w:r>
      <w:r w:rsidRPr="00421A97">
        <w:rPr>
          <w:rFonts w:eastAsia="Calibri" w:cs="Times New Roman"/>
          <w:szCs w:val="24"/>
        </w:rPr>
        <w:t>Rs 2,921,873 for the financial years 2015-16 and 2016-17 respectively.</w:t>
      </w:r>
      <w:r w:rsidRPr="00421A97">
        <w:rPr>
          <w:rFonts w:eastAsia="Calibri" w:cs="Times New Roman"/>
          <w:szCs w:val="24"/>
          <w:lang w:val="en-GB"/>
        </w:rPr>
        <w:t xml:space="preserve"> </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lang w:val="en-GB"/>
        </w:rPr>
        <w:t>The CELPAC Act provides that for each financial year, the Committee shall submit to the Minister an annual report together with an audited statement of accounts on the Centre’s operation.</w:t>
      </w:r>
    </w:p>
    <w:p w:rsidR="00421A97" w:rsidRPr="00421A97" w:rsidRDefault="00421A97" w:rsidP="00421A97">
      <w:pPr>
        <w:spacing w:after="0" w:line="240" w:lineRule="auto"/>
        <w:jc w:val="both"/>
        <w:rPr>
          <w:rFonts w:eastAsia="Calibri" w:cs="Times New Roman"/>
          <w:szCs w:val="24"/>
          <w:lang w:val="en-GB"/>
        </w:rPr>
      </w:pPr>
    </w:p>
    <w:p w:rsidR="00421A97" w:rsidRPr="00421A97" w:rsidRDefault="00421A97" w:rsidP="00421A97">
      <w:pPr>
        <w:spacing w:after="0" w:line="240" w:lineRule="auto"/>
        <w:jc w:val="both"/>
        <w:rPr>
          <w:rFonts w:eastAsia="Calibri" w:cs="Times New Roman"/>
          <w:szCs w:val="24"/>
          <w:lang w:val="en-GB"/>
        </w:rPr>
      </w:pPr>
      <w:r w:rsidRPr="00421A97">
        <w:rPr>
          <w:rFonts w:eastAsia="Calibri" w:cs="Times New Roman"/>
          <w:szCs w:val="24"/>
          <w:lang w:val="en-GB"/>
        </w:rPr>
        <w:t>Separate financial statements and annual reports for the Centre have never been prepared.</w:t>
      </w:r>
    </w:p>
    <w:p w:rsidR="00421A97" w:rsidRPr="00421A97" w:rsidRDefault="00421A97" w:rsidP="00421A97">
      <w:pPr>
        <w:spacing w:after="0" w:line="240" w:lineRule="auto"/>
        <w:rPr>
          <w:rFonts w:eastAsia="Calibri" w:cs="Times New Roman"/>
          <w:b/>
          <w:i/>
          <w:szCs w:val="24"/>
        </w:rPr>
      </w:pPr>
    </w:p>
    <w:p w:rsidR="00421A97" w:rsidRPr="00421A97" w:rsidRDefault="00421A97" w:rsidP="00421A97">
      <w:pPr>
        <w:spacing w:after="0" w:line="240" w:lineRule="auto"/>
        <w:rPr>
          <w:rFonts w:eastAsia="Calibri" w:cs="Times New Roman"/>
          <w:b/>
          <w:i/>
          <w:szCs w:val="24"/>
        </w:rPr>
      </w:pPr>
      <w:r w:rsidRPr="00421A97">
        <w:rPr>
          <w:rFonts w:eastAsia="Calibri" w:cs="Times New Roman"/>
          <w:b/>
          <w:i/>
          <w:szCs w:val="24"/>
        </w:rPr>
        <w:t>Ministry’s Reply</w:t>
      </w:r>
    </w:p>
    <w:p w:rsidR="00421A97" w:rsidRPr="00421A97" w:rsidRDefault="00421A97" w:rsidP="00421A97">
      <w:pPr>
        <w:spacing w:after="0" w:line="240" w:lineRule="auto"/>
        <w:rPr>
          <w:rFonts w:eastAsia="Calibri" w:cs="Times New Roman"/>
          <w:szCs w:val="24"/>
        </w:rPr>
      </w:pPr>
    </w:p>
    <w:p w:rsidR="00421A97" w:rsidRPr="00421A97" w:rsidRDefault="00421A97" w:rsidP="00421A97">
      <w:pPr>
        <w:numPr>
          <w:ilvl w:val="0"/>
          <w:numId w:val="1"/>
        </w:numPr>
        <w:spacing w:after="0" w:line="240" w:lineRule="auto"/>
        <w:ind w:left="360"/>
        <w:contextualSpacing/>
        <w:jc w:val="both"/>
        <w:rPr>
          <w:rFonts w:eastAsia="Calibri" w:cs="Times New Roman"/>
          <w:szCs w:val="24"/>
        </w:rPr>
      </w:pPr>
      <w:r w:rsidRPr="00421A97">
        <w:rPr>
          <w:rFonts w:eastAsia="Calibri" w:cs="Times New Roman"/>
          <w:szCs w:val="24"/>
        </w:rPr>
        <w:t>The Ministry has pressed upon the concerned Statutory Bodies for early submission of their audited accounts. Also, the Ministry has advised those encountering difficulties to prepare their financial statements to hire the services of Accountants;</w:t>
      </w:r>
    </w:p>
    <w:p w:rsidR="00421A97" w:rsidRPr="00421A97" w:rsidRDefault="00421A97" w:rsidP="00421A97">
      <w:pPr>
        <w:spacing w:after="0" w:line="240" w:lineRule="auto"/>
        <w:ind w:left="360" w:hanging="360"/>
        <w:jc w:val="both"/>
        <w:rPr>
          <w:rFonts w:eastAsia="Calibri" w:cs="Times New Roman"/>
          <w:szCs w:val="24"/>
        </w:rPr>
      </w:pPr>
    </w:p>
    <w:p w:rsidR="00421A97" w:rsidRPr="00421A97" w:rsidRDefault="00421A97" w:rsidP="00421A97">
      <w:pPr>
        <w:numPr>
          <w:ilvl w:val="0"/>
          <w:numId w:val="1"/>
        </w:numPr>
        <w:spacing w:after="0" w:line="240" w:lineRule="auto"/>
        <w:ind w:left="360"/>
        <w:contextualSpacing/>
        <w:jc w:val="both"/>
        <w:rPr>
          <w:rFonts w:eastAsia="Calibri" w:cs="Times New Roman"/>
          <w:szCs w:val="24"/>
        </w:rPr>
      </w:pPr>
      <w:r w:rsidRPr="00421A97">
        <w:rPr>
          <w:rFonts w:eastAsia="Calibri" w:cs="Times New Roman"/>
          <w:szCs w:val="24"/>
        </w:rPr>
        <w:t>The relevant Speaking Unions have been requested to comply with provision of their Act and to have their accounts audited by the Director of Audit;</w:t>
      </w:r>
    </w:p>
    <w:p w:rsidR="00421A97" w:rsidRPr="00421A97" w:rsidRDefault="00421A97" w:rsidP="00421A97">
      <w:pPr>
        <w:spacing w:after="0" w:line="240" w:lineRule="auto"/>
        <w:ind w:left="360" w:hanging="360"/>
        <w:jc w:val="both"/>
        <w:rPr>
          <w:rFonts w:eastAsia="Calibri" w:cs="Times New Roman"/>
          <w:szCs w:val="24"/>
        </w:rPr>
      </w:pPr>
    </w:p>
    <w:p w:rsidR="00421A97" w:rsidRPr="00421A97" w:rsidRDefault="00421A97" w:rsidP="00421A97">
      <w:pPr>
        <w:numPr>
          <w:ilvl w:val="0"/>
          <w:numId w:val="1"/>
        </w:numPr>
        <w:spacing w:after="0" w:line="240" w:lineRule="auto"/>
        <w:ind w:left="360"/>
        <w:contextualSpacing/>
        <w:jc w:val="both"/>
        <w:rPr>
          <w:rFonts w:eastAsia="Calibri" w:cs="Times New Roman"/>
          <w:szCs w:val="24"/>
        </w:rPr>
      </w:pPr>
      <w:r w:rsidRPr="00421A97">
        <w:rPr>
          <w:rFonts w:eastAsia="Calibri" w:cs="Times New Roman"/>
          <w:szCs w:val="24"/>
        </w:rPr>
        <w:t>The Ministry is having consultations for the setting up of a new Mauritian Cultural Centre Trust Board;</w:t>
      </w:r>
    </w:p>
    <w:p w:rsidR="00421A97" w:rsidRPr="00421A97" w:rsidRDefault="00421A97" w:rsidP="00421A97">
      <w:pPr>
        <w:spacing w:after="0" w:line="240" w:lineRule="auto"/>
        <w:ind w:left="360" w:hanging="360"/>
        <w:jc w:val="both"/>
        <w:rPr>
          <w:rFonts w:eastAsia="Calibri" w:cs="Times New Roman"/>
          <w:szCs w:val="24"/>
        </w:rPr>
      </w:pPr>
    </w:p>
    <w:p w:rsidR="00421A97" w:rsidRPr="00421A97" w:rsidRDefault="00421A97" w:rsidP="00421A97">
      <w:pPr>
        <w:numPr>
          <w:ilvl w:val="0"/>
          <w:numId w:val="1"/>
        </w:numPr>
        <w:spacing w:after="0" w:line="240" w:lineRule="auto"/>
        <w:ind w:left="360"/>
        <w:contextualSpacing/>
        <w:jc w:val="both"/>
        <w:rPr>
          <w:rFonts w:eastAsia="Calibri" w:cs="Times New Roman"/>
          <w:szCs w:val="24"/>
        </w:rPr>
      </w:pPr>
      <w:r w:rsidRPr="00421A97">
        <w:rPr>
          <w:rFonts w:eastAsia="Calibri" w:cs="Times New Roman"/>
          <w:szCs w:val="24"/>
        </w:rPr>
        <w:t>CELPAC has initiated action to comply with the CELPAC’s Act and follow up is being ensured.</w:t>
      </w:r>
    </w:p>
    <w:p w:rsidR="00BD6AED" w:rsidRDefault="000E362B" w:rsidP="00BD6AED">
      <w:pPr>
        <w:spacing w:after="0" w:line="240" w:lineRule="auto"/>
      </w:pPr>
      <w:r>
        <w:rPr>
          <w:rFonts w:eastAsia="Calibri" w:cs="Times New Roman"/>
          <w:noProof/>
          <w:szCs w:val="24"/>
          <w:lang w:val="en-GB" w:eastAsia="en-GB"/>
        </w:rPr>
        <w:pict w14:anchorId="2627C47A">
          <v:shape id="_x0000_s1027" type="#_x0000_t202" style="position:absolute;margin-left:411.2pt;margin-top:131.6pt;width:105.35pt;height:22.5pt;z-index:251659264;visibility:visible;mso-wrap-distance-top:3.6pt;mso-wrap-distance-bottom:3.6pt;mso-width-relative:margin;mso-height-relative:margin" stroked="f">
            <v:textbox>
              <w:txbxContent>
                <w:p w:rsidR="00EE3030" w:rsidRPr="009F119E" w:rsidRDefault="000E362B" w:rsidP="00EE3030">
                  <w:pPr>
                    <w:jc w:val="center"/>
                    <w:rPr>
                      <w:color w:val="7030A0"/>
                      <w:u w:val="single"/>
                    </w:rPr>
                  </w:pPr>
                  <w:hyperlink r:id="rId8" w:history="1">
                    <w:r w:rsidR="00EE3030" w:rsidRPr="009F119E">
                      <w:rPr>
                        <w:rStyle w:val="Hyperlink"/>
                      </w:rPr>
                      <w:t>Back to Contents</w:t>
                    </w:r>
                  </w:hyperlink>
                </w:p>
              </w:txbxContent>
            </v:textbox>
            <w10:wrap type="square"/>
          </v:shape>
        </w:pict>
      </w:r>
    </w:p>
    <w:sectPr w:rsidR="00BD6AED" w:rsidSect="00017089">
      <w:footerReference w:type="default" r:id="rId9"/>
      <w:headerReference w:type="first" r:id="rId10"/>
      <w:footerReference w:type="first" r:id="rId11"/>
      <w:pgSz w:w="11909" w:h="16834" w:code="9"/>
      <w:pgMar w:top="1440" w:right="1361" w:bottom="1440" w:left="1871" w:header="720" w:footer="720" w:gutter="0"/>
      <w:pgNumType w:start="24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2B3C" w:rsidRDefault="00B52B3C" w:rsidP="00B52B3C">
      <w:pPr>
        <w:spacing w:after="0" w:line="240" w:lineRule="auto"/>
      </w:pPr>
      <w:r>
        <w:separator/>
      </w:r>
    </w:p>
  </w:endnote>
  <w:endnote w:type="continuationSeparator" w:id="0">
    <w:p w:rsidR="00B52B3C" w:rsidRDefault="00B52B3C" w:rsidP="00B52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w:eastAsia="Calibri" w:hAnsi="Calibri" w:cs="Times New Roman"/>
        <w:sz w:val="22"/>
      </w:rPr>
      <w:id w:val="3835190"/>
      <w:docPartObj>
        <w:docPartGallery w:val="Page Numbers (Bottom of Page)"/>
        <w:docPartUnique/>
      </w:docPartObj>
    </w:sdtPr>
    <w:sdtEndPr/>
    <w:sdtContent>
      <w:p w:rsidR="00B52B3C" w:rsidRPr="00B52B3C" w:rsidRDefault="00C56D86" w:rsidP="00B52B3C">
        <w:pPr>
          <w:tabs>
            <w:tab w:val="center" w:pos="4680"/>
            <w:tab w:val="right" w:pos="9360"/>
          </w:tabs>
          <w:spacing w:after="0" w:line="240" w:lineRule="auto"/>
          <w:jc w:val="center"/>
          <w:rPr>
            <w:rFonts w:eastAsia="Calibri" w:cs="Times New Roman"/>
            <w:szCs w:val="24"/>
          </w:rPr>
        </w:pPr>
        <w:r w:rsidRPr="00B52B3C">
          <w:rPr>
            <w:rFonts w:eastAsia="Calibri" w:cs="Times New Roman"/>
            <w:szCs w:val="24"/>
          </w:rPr>
          <w:fldChar w:fldCharType="begin"/>
        </w:r>
        <w:r w:rsidR="00B52B3C" w:rsidRPr="00B52B3C">
          <w:rPr>
            <w:rFonts w:eastAsia="Calibri" w:cs="Times New Roman"/>
            <w:szCs w:val="24"/>
          </w:rPr>
          <w:instrText xml:space="preserve"> PAGE   \* MERGEFORMAT </w:instrText>
        </w:r>
        <w:r w:rsidRPr="00B52B3C">
          <w:rPr>
            <w:rFonts w:eastAsia="Calibri" w:cs="Times New Roman"/>
            <w:szCs w:val="24"/>
          </w:rPr>
          <w:fldChar w:fldCharType="separate"/>
        </w:r>
        <w:r w:rsidR="000E362B">
          <w:rPr>
            <w:rFonts w:eastAsia="Calibri" w:cs="Times New Roman"/>
            <w:noProof/>
            <w:szCs w:val="24"/>
          </w:rPr>
          <w:t>248</w:t>
        </w:r>
        <w:r w:rsidRPr="00B52B3C">
          <w:rPr>
            <w:rFonts w:eastAsia="Calibri" w:cs="Times New Roman"/>
            <w:szCs w:val="24"/>
          </w:rPr>
          <w:fldChar w:fldCharType="end"/>
        </w:r>
      </w:p>
    </w:sdtContent>
  </w:sdt>
  <w:p w:rsidR="00B52B3C" w:rsidRDefault="00B52B3C" w:rsidP="00B52B3C">
    <w:pPr>
      <w:tabs>
        <w:tab w:val="center" w:pos="4680"/>
        <w:tab w:val="right" w:pos="9360"/>
      </w:tabs>
      <w:spacing w:after="0" w:line="240" w:lineRule="auto"/>
      <w:jc w:val="center"/>
    </w:pPr>
    <w:r w:rsidRPr="00B52B3C">
      <w:rPr>
        <w:rFonts w:eastAsia="Calibri" w:cs="Times New Roman"/>
        <w:smallCaps/>
        <w:sz w:val="18"/>
        <w:szCs w:val="18"/>
      </w:rPr>
      <w:t>Ministry Of Arts And Culture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764873"/>
      <w:docPartObj>
        <w:docPartGallery w:val="Page Numbers (Bottom of Page)"/>
        <w:docPartUnique/>
      </w:docPartObj>
    </w:sdtPr>
    <w:sdtEndPr>
      <w:rPr>
        <w:noProof/>
      </w:rPr>
    </w:sdtEndPr>
    <w:sdtContent>
      <w:p w:rsidR="00B52B3C" w:rsidRDefault="00C56D86">
        <w:pPr>
          <w:pStyle w:val="Footer"/>
          <w:jc w:val="center"/>
        </w:pPr>
        <w:r>
          <w:fldChar w:fldCharType="begin"/>
        </w:r>
        <w:r w:rsidR="00B52B3C">
          <w:instrText xml:space="preserve"> PAGE   \* MERGEFORMAT </w:instrText>
        </w:r>
        <w:r>
          <w:fldChar w:fldCharType="separate"/>
        </w:r>
        <w:r w:rsidR="000E362B">
          <w:rPr>
            <w:noProof/>
          </w:rPr>
          <w:t>247</w:t>
        </w:r>
        <w:r>
          <w:rPr>
            <w:noProof/>
          </w:rPr>
          <w:fldChar w:fldCharType="end"/>
        </w:r>
      </w:p>
    </w:sdtContent>
  </w:sdt>
  <w:p w:rsidR="00B52B3C" w:rsidRPr="00B52B3C" w:rsidRDefault="00B52B3C" w:rsidP="00B52B3C">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2B3C" w:rsidRDefault="00B52B3C" w:rsidP="00B52B3C">
      <w:pPr>
        <w:spacing w:after="0" w:line="240" w:lineRule="auto"/>
      </w:pPr>
      <w:r>
        <w:separator/>
      </w:r>
    </w:p>
  </w:footnote>
  <w:footnote w:type="continuationSeparator" w:id="0">
    <w:p w:rsidR="00B52B3C" w:rsidRDefault="00B52B3C" w:rsidP="00B52B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B3C" w:rsidRDefault="00005BC5" w:rsidP="00005BC5">
    <w:pPr>
      <w:pStyle w:val="Header"/>
      <w:jc w:val="center"/>
    </w:pPr>
    <w:r w:rsidRPr="00BD6AED">
      <w:rPr>
        <w:b/>
        <w:smallCaps/>
        <w:sz w:val="40"/>
        <w:szCs w:val="40"/>
      </w:rPr>
      <w:t>15 - Ministry of Arts and Culture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EE4008"/>
    <w:multiLevelType w:val="hybridMultilevel"/>
    <w:tmpl w:val="80B29D7C"/>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2"/>
  </w:compat>
  <w:rsids>
    <w:rsidRoot w:val="00A91BDD"/>
    <w:rsid w:val="00005BC5"/>
    <w:rsid w:val="00013F17"/>
    <w:rsid w:val="00017089"/>
    <w:rsid w:val="000E362B"/>
    <w:rsid w:val="00170692"/>
    <w:rsid w:val="002F1136"/>
    <w:rsid w:val="00310E0F"/>
    <w:rsid w:val="00325A8E"/>
    <w:rsid w:val="00421A97"/>
    <w:rsid w:val="00542912"/>
    <w:rsid w:val="0064073A"/>
    <w:rsid w:val="00650810"/>
    <w:rsid w:val="00695CE0"/>
    <w:rsid w:val="006E69E3"/>
    <w:rsid w:val="009217BA"/>
    <w:rsid w:val="009F2297"/>
    <w:rsid w:val="009F58DA"/>
    <w:rsid w:val="009F6E67"/>
    <w:rsid w:val="00A754B9"/>
    <w:rsid w:val="00A91BDD"/>
    <w:rsid w:val="00B36526"/>
    <w:rsid w:val="00B52B3C"/>
    <w:rsid w:val="00BD6AED"/>
    <w:rsid w:val="00BE5DAD"/>
    <w:rsid w:val="00C56D86"/>
    <w:rsid w:val="00C873F1"/>
    <w:rsid w:val="00DA2322"/>
    <w:rsid w:val="00E2320A"/>
    <w:rsid w:val="00E3491A"/>
    <w:rsid w:val="00EE3030"/>
    <w:rsid w:val="00F14C12"/>
    <w:rsid w:val="00F93A31"/>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A057B24-295F-43A8-804B-0D67FFB4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B3C"/>
  </w:style>
  <w:style w:type="paragraph" w:styleId="Footer">
    <w:name w:val="footer"/>
    <w:basedOn w:val="Normal"/>
    <w:link w:val="FooterChar"/>
    <w:uiPriority w:val="99"/>
    <w:unhideWhenUsed/>
    <w:rsid w:val="00B52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B3C"/>
  </w:style>
  <w:style w:type="paragraph" w:styleId="BalloonText">
    <w:name w:val="Balloon Text"/>
    <w:basedOn w:val="Normal"/>
    <w:link w:val="BalloonTextChar"/>
    <w:uiPriority w:val="99"/>
    <w:semiHidden/>
    <w:unhideWhenUsed/>
    <w:rsid w:val="000170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089"/>
    <w:rPr>
      <w:rFonts w:ascii="Segoe UI" w:hAnsi="Segoe UI" w:cs="Segoe UI"/>
      <w:sz w:val="18"/>
      <w:szCs w:val="18"/>
    </w:rPr>
  </w:style>
  <w:style w:type="character" w:styleId="Hyperlink">
    <w:name w:val="Hyperlink"/>
    <w:basedOn w:val="DefaultParagraphFont"/>
    <w:uiPriority w:val="99"/>
    <w:unhideWhenUsed/>
    <w:rsid w:val="00EE3030"/>
    <w:rPr>
      <w:rFonts w:cs="Times New Roman"/>
      <w:color w:val="0000FF" w:themeColor="hyperlink"/>
      <w:u w:val="single"/>
    </w:rPr>
  </w:style>
  <w:style w:type="character" w:styleId="FollowedHyperlink">
    <w:name w:val="FollowedHyperlink"/>
    <w:basedOn w:val="DefaultParagraphFont"/>
    <w:uiPriority w:val="99"/>
    <w:semiHidden/>
    <w:unhideWhenUsed/>
    <w:rsid w:val="000E36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6462965">
      <w:bodyDiv w:val="1"/>
      <w:marLeft w:val="0"/>
      <w:marRight w:val="0"/>
      <w:marTop w:val="0"/>
      <w:marBottom w:val="0"/>
      <w:divBdr>
        <w:top w:val="none" w:sz="0" w:space="0" w:color="auto"/>
        <w:left w:val="none" w:sz="0" w:space="0" w:color="auto"/>
        <w:bottom w:val="none" w:sz="0" w:space="0" w:color="auto"/>
        <w:right w:val="none" w:sz="0" w:space="0" w:color="auto"/>
      </w:divBdr>
    </w:div>
    <w:div w:id="175671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15</cp:revision>
  <cp:lastPrinted>2018-02-26T14:33:00Z</cp:lastPrinted>
  <dcterms:created xsi:type="dcterms:W3CDTF">2018-02-12T06:27:00Z</dcterms:created>
  <dcterms:modified xsi:type="dcterms:W3CDTF">2018-03-26T05:12:00Z</dcterms:modified>
</cp:coreProperties>
</file>