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C1" w:rsidRDefault="00AA0094" w:rsidP="000C6D41">
      <w:pPr>
        <w:spacing w:after="0" w:line="240" w:lineRule="auto"/>
        <w:rPr>
          <w:b/>
          <w:szCs w:val="24"/>
        </w:rPr>
      </w:pPr>
      <w:r>
        <w:rPr>
          <w:b/>
          <w:noProof/>
          <w:szCs w:val="24"/>
          <w:lang w:val="en-GB" w:eastAsia="en-GB"/>
        </w:rPr>
        <w:pict w14:anchorId="5BBF9F01">
          <v:shapetype id="_x0000_t202" coordsize="21600,21600" o:spt="202" path="m,l,21600r21600,l21600,xe">
            <v:stroke joinstyle="miter"/>
            <v:path gradientshapeok="t" o:connecttype="rect"/>
          </v:shapetype>
          <v:shape id="Text Box 2" o:spid="_x0000_s1026" type="#_x0000_t202" style="position:absolute;margin-left:384.75pt;margin-top:-76.45pt;width:105.35pt;height:22.5pt;z-index:251658240;visibility:visible;mso-wrap-distance-top:3.6pt;mso-wrap-distance-bottom:3.6pt;mso-width-relative:margin;mso-height-relative:margin" stroked="f">
            <v:textbox>
              <w:txbxContent>
                <w:p w:rsidR="00BA32E8" w:rsidRPr="009F119E" w:rsidRDefault="00AA0094" w:rsidP="00BA32E8">
                  <w:pPr>
                    <w:jc w:val="center"/>
                    <w:rPr>
                      <w:color w:val="7030A0"/>
                      <w:u w:val="single"/>
                    </w:rPr>
                  </w:pPr>
                  <w:hyperlink r:id="rId8" w:history="1">
                    <w:r w:rsidR="00BA32E8" w:rsidRPr="009F119E">
                      <w:rPr>
                        <w:rStyle w:val="Hyperlink"/>
                      </w:rPr>
                      <w:t xml:space="preserve">Back to </w:t>
                    </w:r>
                    <w:bookmarkStart w:id="0" w:name="_GoBack"/>
                    <w:r w:rsidR="00BA32E8" w:rsidRPr="009F119E">
                      <w:rPr>
                        <w:rStyle w:val="Hyperlink"/>
                      </w:rPr>
                      <w:t>C</w:t>
                    </w:r>
                    <w:bookmarkEnd w:id="0"/>
                    <w:r w:rsidR="00BA32E8" w:rsidRPr="009F119E">
                      <w:rPr>
                        <w:rStyle w:val="Hyperlink"/>
                      </w:rPr>
                      <w:t>ontents</w:t>
                    </w:r>
                  </w:hyperlink>
                </w:p>
              </w:txbxContent>
            </v:textbox>
            <w10:wrap type="square"/>
          </v:shape>
        </w:pict>
      </w:r>
    </w:p>
    <w:p w:rsidR="00EE0514" w:rsidRPr="00B83C6A" w:rsidRDefault="00EE0514" w:rsidP="000C6D41">
      <w:pPr>
        <w:spacing w:after="0" w:line="240" w:lineRule="auto"/>
        <w:rPr>
          <w:b/>
          <w:sz w:val="32"/>
          <w:szCs w:val="32"/>
        </w:rPr>
      </w:pPr>
      <w:r w:rsidRPr="00B83C6A">
        <w:rPr>
          <w:b/>
          <w:sz w:val="32"/>
          <w:szCs w:val="32"/>
        </w:rPr>
        <w:t>National Transport Authority</w:t>
      </w:r>
    </w:p>
    <w:p w:rsidR="00EE0514" w:rsidRPr="0094072C" w:rsidRDefault="00EE0514" w:rsidP="000C6D41">
      <w:pPr>
        <w:spacing w:after="0" w:line="240" w:lineRule="auto"/>
        <w:rPr>
          <w:b/>
          <w:sz w:val="22"/>
        </w:rPr>
      </w:pPr>
    </w:p>
    <w:p w:rsidR="00EE0514" w:rsidRDefault="00B83C6A" w:rsidP="000C6D41">
      <w:pPr>
        <w:spacing w:after="0" w:line="240" w:lineRule="auto"/>
        <w:rPr>
          <w:b/>
        </w:rPr>
      </w:pPr>
      <w:r>
        <w:rPr>
          <w:b/>
        </w:rPr>
        <w:t>8.1</w:t>
      </w:r>
      <w:r>
        <w:rPr>
          <w:b/>
        </w:rPr>
        <w:tab/>
      </w:r>
      <w:proofErr w:type="spellStart"/>
      <w:r w:rsidR="00EE0514">
        <w:rPr>
          <w:b/>
        </w:rPr>
        <w:t>Privatisation</w:t>
      </w:r>
      <w:proofErr w:type="spellEnd"/>
      <w:r w:rsidR="00EE0514" w:rsidRPr="00016962">
        <w:rPr>
          <w:b/>
        </w:rPr>
        <w:t xml:space="preserve"> of Vehicle Examination </w:t>
      </w:r>
      <w:proofErr w:type="spellStart"/>
      <w:r w:rsidR="00EE0514" w:rsidRPr="00016962">
        <w:rPr>
          <w:b/>
        </w:rPr>
        <w:t>Centres</w:t>
      </w:r>
      <w:proofErr w:type="spellEnd"/>
    </w:p>
    <w:p w:rsidR="00EE0514" w:rsidRDefault="00EE0514" w:rsidP="000C6D41">
      <w:pPr>
        <w:spacing w:after="0" w:line="240" w:lineRule="auto"/>
        <w:jc w:val="both"/>
      </w:pPr>
    </w:p>
    <w:p w:rsidR="00EE0514" w:rsidRPr="00C52507" w:rsidRDefault="00EE0514" w:rsidP="000C6D41">
      <w:pPr>
        <w:spacing w:after="0" w:line="240" w:lineRule="auto"/>
        <w:jc w:val="both"/>
      </w:pPr>
      <w:r w:rsidRPr="00C52507">
        <w:t>Examination of vehicles</w:t>
      </w:r>
      <w:r>
        <w:t>,</w:t>
      </w:r>
      <w:r w:rsidRPr="00C52507">
        <w:t xml:space="preserve"> for the purpose of issuing fitness certificates </w:t>
      </w:r>
      <w:r>
        <w:t xml:space="preserve">was carried out by three Private Operators at Forest Side, </w:t>
      </w:r>
      <w:proofErr w:type="spellStart"/>
      <w:r>
        <w:t>Plaine</w:t>
      </w:r>
      <w:proofErr w:type="spellEnd"/>
      <w:r>
        <w:t xml:space="preserve"> </w:t>
      </w:r>
      <w:proofErr w:type="spellStart"/>
      <w:r>
        <w:t>Lauzun</w:t>
      </w:r>
      <w:proofErr w:type="spellEnd"/>
      <w:r>
        <w:t xml:space="preserve"> and </w:t>
      </w:r>
      <w:proofErr w:type="spellStart"/>
      <w:r>
        <w:t>Laventure</w:t>
      </w:r>
      <w:proofErr w:type="spellEnd"/>
      <w:r>
        <w:t xml:space="preserve"> Examination </w:t>
      </w:r>
      <w:proofErr w:type="spellStart"/>
      <w:r>
        <w:t>Centres</w:t>
      </w:r>
      <w:proofErr w:type="spellEnd"/>
      <w:r>
        <w:t xml:space="preserve"> as from November 2016.  </w:t>
      </w:r>
    </w:p>
    <w:p w:rsidR="00EE0514" w:rsidRDefault="00EE0514" w:rsidP="000C6D41">
      <w:pPr>
        <w:spacing w:after="0" w:line="240" w:lineRule="auto"/>
        <w:jc w:val="both"/>
      </w:pPr>
    </w:p>
    <w:p w:rsidR="00EE0514" w:rsidRDefault="00EE0514" w:rsidP="000C6D41">
      <w:pPr>
        <w:spacing w:after="0" w:line="240" w:lineRule="auto"/>
        <w:jc w:val="both"/>
      </w:pPr>
      <w:r>
        <w:t xml:space="preserve">The prescribed fees for examination of vehicles were increased by 50 per cent. However, vehicle owners were required to pay the current fees, with Government topping up the difference. The Private Operators were then required to pay back to Government a levy of 20 per cent based on their collections. </w:t>
      </w:r>
    </w:p>
    <w:p w:rsidR="00EE0514" w:rsidRDefault="00EE0514" w:rsidP="000C6D41">
      <w:pPr>
        <w:spacing w:after="0" w:line="240" w:lineRule="auto"/>
        <w:rPr>
          <w:b/>
          <w:i/>
        </w:rPr>
      </w:pPr>
    </w:p>
    <w:p w:rsidR="00EE0514" w:rsidRPr="003A2149" w:rsidRDefault="00B83C6A" w:rsidP="000C6D41">
      <w:pPr>
        <w:spacing w:after="0" w:line="240" w:lineRule="auto"/>
        <w:rPr>
          <w:b/>
          <w:i/>
        </w:rPr>
      </w:pPr>
      <w:r>
        <w:rPr>
          <w:b/>
          <w:i/>
        </w:rPr>
        <w:t>8.</w:t>
      </w:r>
      <w:r w:rsidR="00EE0514">
        <w:rPr>
          <w:b/>
          <w:i/>
        </w:rPr>
        <w:t>1.1</w:t>
      </w:r>
      <w:r>
        <w:rPr>
          <w:b/>
          <w:i/>
        </w:rPr>
        <w:tab/>
      </w:r>
      <w:r w:rsidR="00EE0514" w:rsidRPr="003A2149">
        <w:rPr>
          <w:b/>
          <w:i/>
        </w:rPr>
        <w:t xml:space="preserve">Contract </w:t>
      </w:r>
    </w:p>
    <w:p w:rsidR="00EE0514" w:rsidRDefault="00EE0514" w:rsidP="000C6D41">
      <w:pPr>
        <w:spacing w:after="0" w:line="240" w:lineRule="auto"/>
        <w:jc w:val="both"/>
      </w:pPr>
    </w:p>
    <w:p w:rsidR="00EE0514" w:rsidRDefault="00EE0514" w:rsidP="000C6D41">
      <w:pPr>
        <w:spacing w:after="0" w:line="240" w:lineRule="auto"/>
        <w:jc w:val="both"/>
      </w:pPr>
      <w:r w:rsidRPr="0078551C">
        <w:t xml:space="preserve">As of October 2017, </w:t>
      </w:r>
      <w:r>
        <w:t xml:space="preserve">a contract has not yet been signed with the three Private Operators. </w:t>
      </w:r>
      <w:r>
        <w:rPr>
          <w:szCs w:val="24"/>
        </w:rPr>
        <w:t xml:space="preserve">Terms and conditions included in the Letter of Comfort issued in June 2016 such as concession period, frequency of tests, prescribed fees, levy, </w:t>
      </w:r>
      <w:r>
        <w:t xml:space="preserve">among others, need to be finalised and </w:t>
      </w:r>
      <w:proofErr w:type="spellStart"/>
      <w:r>
        <w:t>formalised</w:t>
      </w:r>
      <w:proofErr w:type="spellEnd"/>
      <w:r>
        <w:t xml:space="preserve">. </w:t>
      </w:r>
    </w:p>
    <w:p w:rsidR="00EE0514" w:rsidRDefault="00EE0514" w:rsidP="000C6D41">
      <w:pPr>
        <w:spacing w:after="0" w:line="240" w:lineRule="auto"/>
        <w:rPr>
          <w:szCs w:val="24"/>
        </w:rPr>
      </w:pPr>
    </w:p>
    <w:p w:rsidR="00EE0514" w:rsidRPr="00B83C6A" w:rsidRDefault="00EE0514" w:rsidP="000C6D41">
      <w:pPr>
        <w:pStyle w:val="ListParagraph"/>
        <w:numPr>
          <w:ilvl w:val="2"/>
          <w:numId w:val="8"/>
        </w:numPr>
        <w:spacing w:after="0" w:line="240" w:lineRule="auto"/>
        <w:jc w:val="both"/>
        <w:rPr>
          <w:b/>
          <w:i/>
        </w:rPr>
      </w:pPr>
      <w:r w:rsidRPr="00B83C6A">
        <w:rPr>
          <w:b/>
          <w:i/>
        </w:rPr>
        <w:t>Examination Fees – Taxi</w:t>
      </w:r>
    </w:p>
    <w:p w:rsidR="00EE0514" w:rsidRDefault="00EE0514" w:rsidP="000C6D41">
      <w:pPr>
        <w:spacing w:after="0" w:line="240" w:lineRule="auto"/>
        <w:jc w:val="both"/>
        <w:rPr>
          <w:szCs w:val="24"/>
        </w:rPr>
      </w:pPr>
    </w:p>
    <w:p w:rsidR="00EE0514" w:rsidRDefault="00EE0514" w:rsidP="000C6D41">
      <w:pPr>
        <w:spacing w:after="0" w:line="240" w:lineRule="auto"/>
        <w:jc w:val="both"/>
        <w:rPr>
          <w:szCs w:val="24"/>
        </w:rPr>
      </w:pPr>
      <w:r>
        <w:rPr>
          <w:szCs w:val="24"/>
        </w:rPr>
        <w:t>According to the monthly returns submitted by the three Private Operators, examination fees for taxis were being collected at the rate of Rs 300 per vehicle.</w:t>
      </w:r>
    </w:p>
    <w:p w:rsidR="00EE0514" w:rsidRDefault="00EE0514" w:rsidP="000C6D41">
      <w:pPr>
        <w:spacing w:after="0" w:line="240" w:lineRule="auto"/>
        <w:jc w:val="both"/>
        <w:rPr>
          <w:szCs w:val="24"/>
        </w:rPr>
      </w:pPr>
    </w:p>
    <w:p w:rsidR="00EE0514" w:rsidRDefault="00EE0514" w:rsidP="000C6D41">
      <w:pPr>
        <w:spacing w:after="0" w:line="240" w:lineRule="auto"/>
        <w:jc w:val="both"/>
        <w:rPr>
          <w:szCs w:val="24"/>
        </w:rPr>
      </w:pPr>
      <w:r>
        <w:rPr>
          <w:szCs w:val="24"/>
        </w:rPr>
        <w:t xml:space="preserve">However, fees for taxis were not prescribed in the First Schedule of the Road Traffic (Examination of Motor Vehicles and Trailers) Regulations 2016. Examination fees for taxis were also not included in the annex attached to the Letter of Comfort sent to the </w:t>
      </w:r>
      <w:r w:rsidR="008960A3">
        <w:rPr>
          <w:szCs w:val="24"/>
        </w:rPr>
        <w:t>Private Operators</w:t>
      </w:r>
      <w:r>
        <w:rPr>
          <w:szCs w:val="24"/>
        </w:rPr>
        <w:t xml:space="preserve">. It was not known upon what authority were the fees of </w:t>
      </w:r>
      <w:r w:rsidR="00AD469B">
        <w:rPr>
          <w:szCs w:val="24"/>
        </w:rPr>
        <w:br/>
      </w:r>
      <w:r>
        <w:rPr>
          <w:szCs w:val="24"/>
        </w:rPr>
        <w:t>Rs 300 collected.</w:t>
      </w:r>
    </w:p>
    <w:p w:rsidR="00EE0514" w:rsidRPr="00506D1B" w:rsidRDefault="00EE0514" w:rsidP="000C6D41">
      <w:pPr>
        <w:spacing w:after="0" w:line="240" w:lineRule="auto"/>
        <w:jc w:val="both"/>
        <w:rPr>
          <w:szCs w:val="24"/>
        </w:rPr>
      </w:pPr>
    </w:p>
    <w:p w:rsidR="00EE0514" w:rsidRPr="00B83C6A" w:rsidRDefault="00EE0514" w:rsidP="000C6D41">
      <w:pPr>
        <w:pStyle w:val="ListParagraph"/>
        <w:numPr>
          <w:ilvl w:val="2"/>
          <w:numId w:val="8"/>
        </w:numPr>
        <w:spacing w:after="0" w:line="240" w:lineRule="auto"/>
        <w:rPr>
          <w:b/>
          <w:i/>
          <w:szCs w:val="24"/>
        </w:rPr>
      </w:pPr>
      <w:r w:rsidRPr="00B83C6A">
        <w:rPr>
          <w:b/>
          <w:i/>
          <w:szCs w:val="24"/>
        </w:rPr>
        <w:t xml:space="preserve">Examination of </w:t>
      </w:r>
      <w:proofErr w:type="spellStart"/>
      <w:r w:rsidRPr="00B83C6A">
        <w:rPr>
          <w:b/>
          <w:i/>
          <w:szCs w:val="24"/>
        </w:rPr>
        <w:t>Autocycles</w:t>
      </w:r>
      <w:proofErr w:type="spellEnd"/>
    </w:p>
    <w:p w:rsidR="00EE0514" w:rsidRPr="00CD3A58" w:rsidRDefault="00EE0514" w:rsidP="000C6D41">
      <w:pPr>
        <w:spacing w:after="0" w:line="240" w:lineRule="auto"/>
        <w:rPr>
          <w:b/>
          <w:i/>
          <w:szCs w:val="24"/>
        </w:rPr>
      </w:pPr>
    </w:p>
    <w:p w:rsidR="00EE0514" w:rsidRDefault="00EE0514" w:rsidP="000C6D41">
      <w:pPr>
        <w:spacing w:after="0" w:line="240" w:lineRule="auto"/>
        <w:jc w:val="both"/>
        <w:rPr>
          <w:szCs w:val="24"/>
        </w:rPr>
      </w:pPr>
      <w:r w:rsidRPr="00506D1B">
        <w:rPr>
          <w:szCs w:val="24"/>
        </w:rPr>
        <w:t>According to the First Schedule of the Road Traffic (Examination of Motor Vehicles and Trailers) Regulations, a fee of Rs 200 should be paid by the owner in respect of a motor cycle/auto cycle</w:t>
      </w:r>
      <w:r>
        <w:rPr>
          <w:szCs w:val="24"/>
        </w:rPr>
        <w:t xml:space="preserve"> for fitness test</w:t>
      </w:r>
      <w:r w:rsidRPr="00506D1B">
        <w:rPr>
          <w:szCs w:val="24"/>
        </w:rPr>
        <w:t xml:space="preserve">.  However, according to monthly reports verified, examination of auto cycles was not being carried out by the three </w:t>
      </w:r>
      <w:r>
        <w:rPr>
          <w:szCs w:val="24"/>
        </w:rPr>
        <w:t>P</w:t>
      </w:r>
      <w:r w:rsidRPr="00506D1B">
        <w:rPr>
          <w:szCs w:val="24"/>
        </w:rPr>
        <w:t xml:space="preserve">rivate </w:t>
      </w:r>
      <w:r>
        <w:rPr>
          <w:szCs w:val="24"/>
        </w:rPr>
        <w:t>Operators</w:t>
      </w:r>
      <w:r w:rsidRPr="00506D1B">
        <w:rPr>
          <w:szCs w:val="24"/>
        </w:rPr>
        <w:t>.</w:t>
      </w:r>
    </w:p>
    <w:p w:rsidR="00EE0514" w:rsidRDefault="00EE0514" w:rsidP="000C6D41">
      <w:pPr>
        <w:spacing w:after="0" w:line="240" w:lineRule="auto"/>
        <w:rPr>
          <w:b/>
          <w:i/>
        </w:rPr>
      </w:pPr>
    </w:p>
    <w:p w:rsidR="00EE0514" w:rsidRPr="00B83C6A" w:rsidRDefault="00EE0514" w:rsidP="000C6D41">
      <w:pPr>
        <w:pStyle w:val="ListParagraph"/>
        <w:numPr>
          <w:ilvl w:val="2"/>
          <w:numId w:val="8"/>
        </w:numPr>
        <w:spacing w:after="0" w:line="240" w:lineRule="auto"/>
        <w:jc w:val="both"/>
        <w:rPr>
          <w:b/>
          <w:i/>
        </w:rPr>
      </w:pPr>
      <w:r w:rsidRPr="00B83C6A">
        <w:rPr>
          <w:b/>
          <w:i/>
        </w:rPr>
        <w:t xml:space="preserve">Data Protection </w:t>
      </w:r>
    </w:p>
    <w:p w:rsidR="00EE0514" w:rsidRDefault="00EE0514" w:rsidP="000C6D41">
      <w:pPr>
        <w:spacing w:after="0" w:line="240" w:lineRule="auto"/>
        <w:jc w:val="both"/>
        <w:rPr>
          <w:szCs w:val="24"/>
        </w:rPr>
      </w:pPr>
    </w:p>
    <w:p w:rsidR="00EE0514" w:rsidRPr="00D37258" w:rsidRDefault="00EE0514" w:rsidP="000C6D41">
      <w:pPr>
        <w:spacing w:after="0" w:line="240" w:lineRule="auto"/>
        <w:jc w:val="both"/>
        <w:rPr>
          <w:szCs w:val="24"/>
        </w:rPr>
      </w:pPr>
      <w:r w:rsidRPr="00D37258">
        <w:rPr>
          <w:szCs w:val="24"/>
        </w:rPr>
        <w:t>The N</w:t>
      </w:r>
      <w:r>
        <w:rPr>
          <w:szCs w:val="24"/>
        </w:rPr>
        <w:t xml:space="preserve">ational </w:t>
      </w:r>
      <w:r w:rsidRPr="00D37258">
        <w:rPr>
          <w:szCs w:val="24"/>
        </w:rPr>
        <w:t>T</w:t>
      </w:r>
      <w:r>
        <w:rPr>
          <w:szCs w:val="24"/>
        </w:rPr>
        <w:t xml:space="preserve">ransport </w:t>
      </w:r>
      <w:r w:rsidRPr="00D37258">
        <w:rPr>
          <w:szCs w:val="24"/>
        </w:rPr>
        <w:t>A</w:t>
      </w:r>
      <w:r>
        <w:rPr>
          <w:szCs w:val="24"/>
        </w:rPr>
        <w:t xml:space="preserve">uthority (NTA) </w:t>
      </w:r>
      <w:r w:rsidRPr="00D37258">
        <w:rPr>
          <w:szCs w:val="24"/>
        </w:rPr>
        <w:t xml:space="preserve">holds confidential information of a personal or business nature relating to its own operations and functions and that of private individuals and companies. For administrative convenience, the NTA shared its information with the three </w:t>
      </w:r>
      <w:r>
        <w:rPr>
          <w:szCs w:val="24"/>
        </w:rPr>
        <w:t>P</w:t>
      </w:r>
      <w:r w:rsidRPr="00D37258">
        <w:rPr>
          <w:szCs w:val="24"/>
        </w:rPr>
        <w:t xml:space="preserve">rivate </w:t>
      </w:r>
      <w:r>
        <w:rPr>
          <w:szCs w:val="24"/>
        </w:rPr>
        <w:t>O</w:t>
      </w:r>
      <w:r w:rsidRPr="00D37258">
        <w:rPr>
          <w:szCs w:val="24"/>
        </w:rPr>
        <w:t>perators to enable them to verify the particulars of vehicles being examined</w:t>
      </w:r>
      <w:r>
        <w:rPr>
          <w:szCs w:val="24"/>
        </w:rPr>
        <w:t>,</w:t>
      </w:r>
      <w:r w:rsidRPr="00D37258">
        <w:rPr>
          <w:szCs w:val="24"/>
        </w:rPr>
        <w:t xml:space="preserve"> and also for them to input details on validity of certificates of fitness issued by them for every vehicle examined for the licensing and records needs of the NTA.</w:t>
      </w:r>
    </w:p>
    <w:p w:rsidR="00EE0514" w:rsidRDefault="00EE0514" w:rsidP="000C6D41">
      <w:pPr>
        <w:spacing w:after="0" w:line="240" w:lineRule="auto"/>
        <w:contextualSpacing/>
        <w:jc w:val="both"/>
        <w:rPr>
          <w:rFonts w:eastAsia="Times New Roman"/>
          <w:szCs w:val="24"/>
        </w:rPr>
      </w:pPr>
    </w:p>
    <w:p w:rsidR="00EE0514" w:rsidRDefault="00EE0514" w:rsidP="000C6D41">
      <w:pPr>
        <w:spacing w:after="0" w:line="240" w:lineRule="auto"/>
        <w:contextualSpacing/>
        <w:jc w:val="both"/>
        <w:rPr>
          <w:szCs w:val="24"/>
        </w:rPr>
      </w:pPr>
      <w:r w:rsidRPr="00D37258">
        <w:rPr>
          <w:rFonts w:eastAsia="Times New Roman"/>
          <w:szCs w:val="24"/>
        </w:rPr>
        <w:lastRenderedPageBreak/>
        <w:t xml:space="preserve">According to the Data Protection Act, the NTA and the </w:t>
      </w:r>
      <w:r>
        <w:rPr>
          <w:rFonts w:eastAsia="Times New Roman"/>
          <w:szCs w:val="24"/>
        </w:rPr>
        <w:t>Private Operators</w:t>
      </w:r>
      <w:r w:rsidRPr="00D37258">
        <w:rPr>
          <w:rFonts w:eastAsia="Times New Roman"/>
          <w:szCs w:val="24"/>
        </w:rPr>
        <w:t xml:space="preserve"> fall under the definition of Data Controller and Data Processor.</w:t>
      </w:r>
      <w:r>
        <w:rPr>
          <w:rFonts w:eastAsia="Times New Roman"/>
          <w:szCs w:val="24"/>
        </w:rPr>
        <w:t xml:space="preserve"> The Act provides that </w:t>
      </w:r>
      <w:r w:rsidRPr="00546325">
        <w:rPr>
          <w:szCs w:val="24"/>
        </w:rPr>
        <w:t>every Data Controller and Data Processor should, before keeping or processing personal data or sensitive personal data, register himself with the Data Protection Commissioner</w:t>
      </w:r>
      <w:r>
        <w:rPr>
          <w:szCs w:val="24"/>
        </w:rPr>
        <w:t>.</w:t>
      </w:r>
      <w:r w:rsidRPr="00546325">
        <w:rPr>
          <w:szCs w:val="24"/>
        </w:rPr>
        <w:t xml:space="preserve">   </w:t>
      </w:r>
    </w:p>
    <w:p w:rsidR="00EE0514" w:rsidRPr="0094072C" w:rsidRDefault="00EE0514" w:rsidP="000C6D41">
      <w:pPr>
        <w:pStyle w:val="Normal1"/>
        <w:jc w:val="both"/>
        <w:rPr>
          <w:rStyle w:val="s950c43291"/>
          <w:sz w:val="22"/>
          <w:szCs w:val="22"/>
        </w:rPr>
      </w:pPr>
    </w:p>
    <w:p w:rsidR="00EE0514" w:rsidRDefault="00EE0514" w:rsidP="000C6D41">
      <w:pPr>
        <w:pStyle w:val="Normal1"/>
        <w:jc w:val="both"/>
        <w:rPr>
          <w:rStyle w:val="s950c43291"/>
        </w:rPr>
      </w:pPr>
      <w:r>
        <w:rPr>
          <w:rStyle w:val="s950c43291"/>
        </w:rPr>
        <w:t>There was no evidence that the three Private Operators were registered with the Data Protection Office.</w:t>
      </w:r>
    </w:p>
    <w:p w:rsidR="00EE0514" w:rsidRPr="0094072C" w:rsidRDefault="00EE0514" w:rsidP="000C6D41">
      <w:pPr>
        <w:pStyle w:val="Normal1"/>
        <w:jc w:val="both"/>
        <w:rPr>
          <w:rStyle w:val="s950c43291"/>
          <w:sz w:val="22"/>
          <w:szCs w:val="22"/>
        </w:rPr>
      </w:pPr>
    </w:p>
    <w:p w:rsidR="00EE0514" w:rsidRDefault="00EE0514" w:rsidP="000C6D41">
      <w:pPr>
        <w:spacing w:after="0" w:line="240" w:lineRule="auto"/>
        <w:jc w:val="both"/>
        <w:rPr>
          <w:b/>
          <w:i/>
        </w:rPr>
      </w:pPr>
      <w:r w:rsidRPr="00C07A49">
        <w:rPr>
          <w:b/>
          <w:i/>
        </w:rPr>
        <w:t>Recommendations</w:t>
      </w:r>
    </w:p>
    <w:p w:rsidR="00EE0514" w:rsidRPr="00C07A49" w:rsidRDefault="00EE0514" w:rsidP="000C6D41">
      <w:pPr>
        <w:spacing w:after="0" w:line="240" w:lineRule="auto"/>
        <w:jc w:val="both"/>
        <w:rPr>
          <w:b/>
          <w:i/>
        </w:rPr>
      </w:pPr>
    </w:p>
    <w:p w:rsidR="00EE0514" w:rsidRDefault="00EE0514" w:rsidP="000C6D41">
      <w:pPr>
        <w:pStyle w:val="ListParagraph"/>
        <w:numPr>
          <w:ilvl w:val="0"/>
          <w:numId w:val="3"/>
        </w:numPr>
        <w:spacing w:after="0" w:line="240" w:lineRule="auto"/>
        <w:jc w:val="both"/>
        <w:rPr>
          <w:szCs w:val="24"/>
        </w:rPr>
      </w:pPr>
      <w:r w:rsidRPr="0072586A">
        <w:rPr>
          <w:szCs w:val="24"/>
        </w:rPr>
        <w:t>The contract should be finali</w:t>
      </w:r>
      <w:r>
        <w:rPr>
          <w:szCs w:val="24"/>
        </w:rPr>
        <w:t>s</w:t>
      </w:r>
      <w:r w:rsidRPr="0072586A">
        <w:rPr>
          <w:szCs w:val="24"/>
        </w:rPr>
        <w:t xml:space="preserve">ed with the </w:t>
      </w:r>
      <w:r>
        <w:rPr>
          <w:szCs w:val="24"/>
        </w:rPr>
        <w:t>P</w:t>
      </w:r>
      <w:r w:rsidRPr="0072586A">
        <w:rPr>
          <w:szCs w:val="24"/>
        </w:rPr>
        <w:t xml:space="preserve">rivate </w:t>
      </w:r>
      <w:r>
        <w:rPr>
          <w:szCs w:val="24"/>
        </w:rPr>
        <w:t>O</w:t>
      </w:r>
      <w:r w:rsidR="003D3409">
        <w:rPr>
          <w:szCs w:val="24"/>
        </w:rPr>
        <w:t>perators;</w:t>
      </w:r>
    </w:p>
    <w:p w:rsidR="00EE0514" w:rsidRPr="0094072C" w:rsidRDefault="00EE0514" w:rsidP="000C6D41">
      <w:pPr>
        <w:pStyle w:val="ListParagraph"/>
        <w:spacing w:after="0" w:line="240" w:lineRule="auto"/>
        <w:ind w:left="360"/>
        <w:jc w:val="both"/>
        <w:rPr>
          <w:sz w:val="22"/>
        </w:rPr>
      </w:pPr>
    </w:p>
    <w:p w:rsidR="00EE0514" w:rsidRPr="00325DE5" w:rsidRDefault="00EE0514" w:rsidP="000C6D41">
      <w:pPr>
        <w:pStyle w:val="ListParagraph"/>
        <w:numPr>
          <w:ilvl w:val="0"/>
          <w:numId w:val="3"/>
        </w:numPr>
        <w:spacing w:after="0" w:line="240" w:lineRule="auto"/>
        <w:jc w:val="both"/>
        <w:rPr>
          <w:szCs w:val="24"/>
        </w:rPr>
      </w:pPr>
      <w:r w:rsidRPr="00325DE5">
        <w:t xml:space="preserve">Necessary amendments should be brought to the Road Traffic (Examination of </w:t>
      </w:r>
      <w:r>
        <w:t>M</w:t>
      </w:r>
      <w:r w:rsidRPr="00325DE5">
        <w:t xml:space="preserve">otor </w:t>
      </w:r>
      <w:r>
        <w:t>V</w:t>
      </w:r>
      <w:r w:rsidRPr="00325DE5">
        <w:t>ehicles and Trailers) Regulations 2016 to include examination fees for Taxi</w:t>
      </w:r>
      <w:r>
        <w:t>s</w:t>
      </w:r>
      <w:r w:rsidR="003D3409">
        <w:t>;</w:t>
      </w:r>
    </w:p>
    <w:p w:rsidR="00EE0514" w:rsidRPr="0094072C" w:rsidRDefault="00EE0514" w:rsidP="000C6D41">
      <w:pPr>
        <w:spacing w:after="0" w:line="240" w:lineRule="auto"/>
        <w:rPr>
          <w:sz w:val="22"/>
        </w:rPr>
      </w:pPr>
    </w:p>
    <w:p w:rsidR="00EE0514" w:rsidRDefault="00EE0514" w:rsidP="000C6D41">
      <w:pPr>
        <w:pStyle w:val="ListParagraph"/>
        <w:widowControl w:val="0"/>
        <w:numPr>
          <w:ilvl w:val="0"/>
          <w:numId w:val="3"/>
        </w:numPr>
        <w:spacing w:after="0" w:line="240" w:lineRule="auto"/>
        <w:jc w:val="both"/>
        <w:rPr>
          <w:rFonts w:eastAsia="Times New Roman"/>
          <w:szCs w:val="24"/>
        </w:rPr>
      </w:pPr>
      <w:r>
        <w:rPr>
          <w:rFonts w:eastAsia="Times New Roman"/>
          <w:szCs w:val="24"/>
        </w:rPr>
        <w:t>M</w:t>
      </w:r>
      <w:r w:rsidRPr="00B43EBB">
        <w:rPr>
          <w:rFonts w:eastAsia="Times New Roman"/>
          <w:szCs w:val="24"/>
        </w:rPr>
        <w:t xml:space="preserve">easures must be taken to ensure </w:t>
      </w:r>
      <w:r>
        <w:rPr>
          <w:rFonts w:eastAsia="Times New Roman"/>
          <w:szCs w:val="24"/>
        </w:rPr>
        <w:t xml:space="preserve">that the three Private Operators comply with </w:t>
      </w:r>
      <w:r w:rsidR="003D3409">
        <w:rPr>
          <w:rFonts w:eastAsia="Times New Roman"/>
          <w:szCs w:val="24"/>
        </w:rPr>
        <w:t>the Data Protection Act;</w:t>
      </w:r>
    </w:p>
    <w:p w:rsidR="00EE0514" w:rsidRPr="0094072C" w:rsidRDefault="00EE0514" w:rsidP="000C6D41">
      <w:pPr>
        <w:pStyle w:val="ListParagraph"/>
        <w:spacing w:after="0" w:line="240" w:lineRule="auto"/>
        <w:rPr>
          <w:rFonts w:eastAsia="Times New Roman"/>
          <w:sz w:val="22"/>
        </w:rPr>
      </w:pPr>
    </w:p>
    <w:p w:rsidR="00EE0514" w:rsidRDefault="00EE0514" w:rsidP="000C6D41">
      <w:pPr>
        <w:pStyle w:val="ListParagraph"/>
        <w:numPr>
          <w:ilvl w:val="0"/>
          <w:numId w:val="3"/>
        </w:numPr>
        <w:spacing w:after="0" w:line="240" w:lineRule="auto"/>
        <w:jc w:val="both"/>
        <w:rPr>
          <w:szCs w:val="24"/>
        </w:rPr>
      </w:pPr>
      <w:r w:rsidRPr="00C07A49">
        <w:rPr>
          <w:szCs w:val="24"/>
        </w:rPr>
        <w:t>Regulations regarding auto cycles to undergo fitness tests should be enforc</w:t>
      </w:r>
      <w:r w:rsidR="00892EEC">
        <w:rPr>
          <w:szCs w:val="24"/>
        </w:rPr>
        <w:t>ed by the relevant Authorities.</w:t>
      </w:r>
    </w:p>
    <w:p w:rsidR="00892EEC" w:rsidRPr="0094072C" w:rsidRDefault="00892EEC" w:rsidP="000C6D41">
      <w:pPr>
        <w:spacing w:after="0" w:line="240" w:lineRule="auto"/>
        <w:rPr>
          <w:sz w:val="22"/>
        </w:rPr>
      </w:pPr>
    </w:p>
    <w:p w:rsidR="00E87393" w:rsidRDefault="001D54C5" w:rsidP="000C6D41">
      <w:pPr>
        <w:spacing w:after="0" w:line="240" w:lineRule="auto"/>
        <w:rPr>
          <w:b/>
          <w:i/>
        </w:rPr>
      </w:pPr>
      <w:r>
        <w:rPr>
          <w:b/>
          <w:i/>
        </w:rPr>
        <w:t>NTA’s</w:t>
      </w:r>
      <w:r w:rsidR="00E87393" w:rsidRPr="00B43BC1">
        <w:rPr>
          <w:b/>
          <w:i/>
        </w:rPr>
        <w:t xml:space="preserve"> Reply</w:t>
      </w:r>
    </w:p>
    <w:p w:rsidR="00E87393" w:rsidRDefault="00E87393" w:rsidP="000C6D41">
      <w:pPr>
        <w:spacing w:after="0" w:line="240" w:lineRule="auto"/>
        <w:rPr>
          <w:b/>
          <w:i/>
        </w:rPr>
      </w:pPr>
    </w:p>
    <w:p w:rsidR="00E87393" w:rsidRPr="00E87393" w:rsidRDefault="00E87393" w:rsidP="000C6D41">
      <w:pPr>
        <w:pStyle w:val="ListParagraph"/>
        <w:numPr>
          <w:ilvl w:val="0"/>
          <w:numId w:val="9"/>
        </w:numPr>
        <w:spacing w:after="0" w:line="240" w:lineRule="auto"/>
        <w:jc w:val="both"/>
      </w:pPr>
      <w:r w:rsidRPr="00E87393">
        <w:t>The contract is being fi</w:t>
      </w:r>
      <w:r w:rsidR="003D3409">
        <w:t>nalised by the State Law Office;</w:t>
      </w:r>
    </w:p>
    <w:p w:rsidR="00E87393" w:rsidRPr="0094072C" w:rsidRDefault="00E87393" w:rsidP="000C6D41">
      <w:pPr>
        <w:pStyle w:val="ListParagraph"/>
        <w:spacing w:after="0" w:line="240" w:lineRule="auto"/>
        <w:ind w:left="360"/>
        <w:jc w:val="both"/>
        <w:rPr>
          <w:sz w:val="22"/>
        </w:rPr>
      </w:pPr>
    </w:p>
    <w:p w:rsidR="00E87393" w:rsidRPr="00E87393" w:rsidRDefault="00E87393" w:rsidP="000C6D41">
      <w:pPr>
        <w:pStyle w:val="ListParagraph"/>
        <w:numPr>
          <w:ilvl w:val="0"/>
          <w:numId w:val="9"/>
        </w:numPr>
        <w:spacing w:after="0" w:line="240" w:lineRule="auto"/>
        <w:jc w:val="both"/>
      </w:pPr>
      <w:r w:rsidRPr="00E87393">
        <w:t xml:space="preserve">It is proposed to amend the regulations for the provision of an examination fee of </w:t>
      </w:r>
      <w:r w:rsidR="00AD469B">
        <w:br/>
      </w:r>
      <w:r w:rsidR="003D3409">
        <w:t>Rs 300 for taxis;</w:t>
      </w:r>
    </w:p>
    <w:p w:rsidR="00E87393" w:rsidRPr="0094072C" w:rsidRDefault="00E87393" w:rsidP="000C6D41">
      <w:pPr>
        <w:spacing w:after="0" w:line="240" w:lineRule="auto"/>
        <w:jc w:val="both"/>
        <w:rPr>
          <w:sz w:val="22"/>
        </w:rPr>
      </w:pPr>
    </w:p>
    <w:p w:rsidR="00E87393" w:rsidRPr="00E87393" w:rsidRDefault="00E87393" w:rsidP="000C6D41">
      <w:pPr>
        <w:pStyle w:val="ListParagraph"/>
        <w:numPr>
          <w:ilvl w:val="0"/>
          <w:numId w:val="9"/>
        </w:numPr>
        <w:spacing w:after="0" w:line="240" w:lineRule="auto"/>
        <w:jc w:val="both"/>
      </w:pPr>
      <w:r w:rsidRPr="00E87393">
        <w:t xml:space="preserve">On 17 October 2017, the three Authorised Examiners have been requested to register themselves with Data Protection Commissioner. </w:t>
      </w:r>
    </w:p>
    <w:p w:rsidR="00A32216" w:rsidRDefault="00A32216" w:rsidP="000C6D41">
      <w:pPr>
        <w:spacing w:after="0" w:line="240" w:lineRule="auto"/>
        <w:rPr>
          <w:b/>
          <w:szCs w:val="24"/>
        </w:rPr>
      </w:pPr>
    </w:p>
    <w:p w:rsidR="00E87393" w:rsidRPr="0094072C" w:rsidRDefault="00E87393" w:rsidP="000C6D41">
      <w:pPr>
        <w:spacing w:after="0" w:line="240" w:lineRule="auto"/>
        <w:rPr>
          <w:b/>
          <w:sz w:val="22"/>
        </w:rPr>
      </w:pPr>
    </w:p>
    <w:p w:rsidR="00EE0514" w:rsidRPr="00B83C6A" w:rsidRDefault="00EE0514" w:rsidP="000C6D41">
      <w:pPr>
        <w:pStyle w:val="ListParagraph"/>
        <w:numPr>
          <w:ilvl w:val="1"/>
          <w:numId w:val="8"/>
        </w:numPr>
        <w:spacing w:after="0" w:line="240" w:lineRule="auto"/>
        <w:ind w:left="720" w:hanging="720"/>
        <w:rPr>
          <w:b/>
        </w:rPr>
      </w:pPr>
      <w:r w:rsidRPr="00B83C6A">
        <w:rPr>
          <w:b/>
        </w:rPr>
        <w:t>Revenue Collection</w:t>
      </w:r>
    </w:p>
    <w:p w:rsidR="00EE0514" w:rsidRPr="0094072C" w:rsidRDefault="00EE0514" w:rsidP="000C6D41">
      <w:pPr>
        <w:pStyle w:val="ListParagraph"/>
        <w:spacing w:after="0" w:line="240" w:lineRule="auto"/>
        <w:rPr>
          <w:b/>
          <w:sz w:val="22"/>
        </w:rPr>
      </w:pPr>
    </w:p>
    <w:p w:rsidR="00EE0514" w:rsidRPr="00152DF5" w:rsidRDefault="00B83C6A" w:rsidP="000C6D41">
      <w:pPr>
        <w:spacing w:after="0" w:line="240" w:lineRule="auto"/>
        <w:rPr>
          <w:b/>
          <w:i/>
        </w:rPr>
      </w:pPr>
      <w:r>
        <w:rPr>
          <w:b/>
          <w:i/>
        </w:rPr>
        <w:t>8.2</w:t>
      </w:r>
      <w:r w:rsidR="00EE0514">
        <w:rPr>
          <w:b/>
          <w:i/>
        </w:rPr>
        <w:t>.1</w:t>
      </w:r>
      <w:r w:rsidR="00EE0514">
        <w:rPr>
          <w:b/>
        </w:rPr>
        <w:tab/>
      </w:r>
      <w:r w:rsidR="00EE0514" w:rsidRPr="00152DF5">
        <w:rPr>
          <w:b/>
          <w:i/>
        </w:rPr>
        <w:t xml:space="preserve">Underpayment of Motor Vehicle </w:t>
      </w:r>
      <w:proofErr w:type="spellStart"/>
      <w:r w:rsidR="00EE0514" w:rsidRPr="00152DF5">
        <w:rPr>
          <w:b/>
          <w:i/>
        </w:rPr>
        <w:t>Licences</w:t>
      </w:r>
      <w:proofErr w:type="spellEnd"/>
      <w:r w:rsidR="00EE0514" w:rsidRPr="00152DF5">
        <w:rPr>
          <w:b/>
          <w:i/>
        </w:rPr>
        <w:t xml:space="preserve"> </w:t>
      </w:r>
    </w:p>
    <w:p w:rsidR="00EE0514" w:rsidRPr="0094072C" w:rsidRDefault="00EE0514" w:rsidP="000C6D41">
      <w:pPr>
        <w:spacing w:after="0" w:line="240" w:lineRule="auto"/>
        <w:jc w:val="both"/>
        <w:rPr>
          <w:sz w:val="22"/>
        </w:rPr>
      </w:pPr>
    </w:p>
    <w:p w:rsidR="00EE0514" w:rsidRDefault="00EE0514" w:rsidP="000C6D41">
      <w:pPr>
        <w:spacing w:after="0" w:line="240" w:lineRule="auto"/>
        <w:jc w:val="both"/>
      </w:pPr>
      <w:r w:rsidRPr="007058AE">
        <w:t xml:space="preserve">Motor Vehicle </w:t>
      </w:r>
      <w:proofErr w:type="spellStart"/>
      <w:r w:rsidRPr="007058AE">
        <w:t>licences</w:t>
      </w:r>
      <w:proofErr w:type="spellEnd"/>
      <w:r w:rsidRPr="007058AE">
        <w:t xml:space="preserve"> were collected at Head Office</w:t>
      </w:r>
      <w:r>
        <w:t xml:space="preserve"> </w:t>
      </w:r>
      <w:r w:rsidR="000C7346">
        <w:t>NTA</w:t>
      </w:r>
      <w:r w:rsidRPr="007058AE">
        <w:t xml:space="preserve">, Post Offices, </w:t>
      </w:r>
      <w:r>
        <w:t xml:space="preserve">Private </w:t>
      </w:r>
      <w:r w:rsidRPr="007058AE">
        <w:t xml:space="preserve">Examination </w:t>
      </w:r>
      <w:proofErr w:type="spellStart"/>
      <w:r w:rsidRPr="007058AE">
        <w:t>Centres</w:t>
      </w:r>
      <w:proofErr w:type="spellEnd"/>
      <w:r w:rsidRPr="007058AE">
        <w:t xml:space="preserve">, </w:t>
      </w:r>
      <w:proofErr w:type="gramStart"/>
      <w:r w:rsidRPr="007058AE">
        <w:t>District</w:t>
      </w:r>
      <w:r>
        <w:t>s</w:t>
      </w:r>
      <w:proofErr w:type="gramEnd"/>
      <w:r w:rsidRPr="007058AE">
        <w:t xml:space="preserve"> C</w:t>
      </w:r>
      <w:r>
        <w:t xml:space="preserve">ash Offices </w:t>
      </w:r>
      <w:r w:rsidRPr="007058AE">
        <w:t>and at Rodrigues Island.</w:t>
      </w:r>
    </w:p>
    <w:p w:rsidR="00EE0514" w:rsidRPr="0094072C" w:rsidRDefault="00EE0514" w:rsidP="000C6D41">
      <w:pPr>
        <w:spacing w:after="0" w:line="240" w:lineRule="auto"/>
        <w:jc w:val="both"/>
        <w:rPr>
          <w:sz w:val="22"/>
        </w:rPr>
      </w:pPr>
    </w:p>
    <w:p w:rsidR="00EE0514" w:rsidRDefault="00EE0514" w:rsidP="000C6D41">
      <w:pPr>
        <w:spacing w:after="0" w:line="240" w:lineRule="auto"/>
        <w:jc w:val="both"/>
      </w:pPr>
      <w:r>
        <w:t xml:space="preserve">Motor Vehicle </w:t>
      </w:r>
      <w:proofErr w:type="spellStart"/>
      <w:r>
        <w:t>Licences</w:t>
      </w:r>
      <w:proofErr w:type="spellEnd"/>
      <w:r>
        <w:t xml:space="preserve"> booklets were issued to Districts Cash Offices by the Treasury and collections amounted to some Rs 35.5 million during financial year 2016-17. During the period Ju</w:t>
      </w:r>
      <w:r w:rsidR="000C7346">
        <w:t>ly 2015 to June 2017, 588</w:t>
      </w:r>
      <w:r>
        <w:t xml:space="preserve"> cases were noted at the Curepipe District Cash Office, whereby the cylinder capacity of vehicles recorded on duplicate disc (receipts) did not tally with that recorded in the database of vehicles maintained by the NTA.</w:t>
      </w:r>
      <w:r w:rsidRPr="0029147B">
        <w:t xml:space="preserve"> </w:t>
      </w:r>
      <w:r>
        <w:t xml:space="preserve">The resulting underpayment of </w:t>
      </w:r>
      <w:proofErr w:type="spellStart"/>
      <w:r>
        <w:t>licence</w:t>
      </w:r>
      <w:proofErr w:type="spellEnd"/>
      <w:r>
        <w:t xml:space="preserve"> fees</w:t>
      </w:r>
      <w:r w:rsidR="000C7346">
        <w:t xml:space="preserve"> amounted to some Rs 1.9 million.  The 588</w:t>
      </w:r>
      <w:r w:rsidR="003619C1">
        <w:t xml:space="preserve"> cases included 157 cases for the year 2016-17 worked out by the NTA.</w:t>
      </w:r>
    </w:p>
    <w:p w:rsidR="00EE0514" w:rsidRPr="0094072C" w:rsidRDefault="00EE0514" w:rsidP="000C6D41">
      <w:pPr>
        <w:spacing w:after="0" w:line="240" w:lineRule="auto"/>
        <w:jc w:val="both"/>
        <w:rPr>
          <w:sz w:val="22"/>
        </w:rPr>
      </w:pPr>
    </w:p>
    <w:p w:rsidR="00EE0514" w:rsidRDefault="000C7346" w:rsidP="000C6D41">
      <w:pPr>
        <w:spacing w:after="0" w:line="240" w:lineRule="auto"/>
        <w:jc w:val="both"/>
      </w:pPr>
      <w:r>
        <w:t>The 588</w:t>
      </w:r>
      <w:r w:rsidR="00EE0514">
        <w:t xml:space="preserve"> cases may have arisen due to:</w:t>
      </w:r>
    </w:p>
    <w:p w:rsidR="00EE0514" w:rsidRPr="0094072C" w:rsidRDefault="00EE0514" w:rsidP="000C6D41">
      <w:pPr>
        <w:spacing w:after="0" w:line="240" w:lineRule="auto"/>
        <w:jc w:val="both"/>
        <w:rPr>
          <w:sz w:val="22"/>
        </w:rPr>
      </w:pPr>
    </w:p>
    <w:p w:rsidR="00EE0514" w:rsidRDefault="00EE0514" w:rsidP="000C6D41">
      <w:pPr>
        <w:pStyle w:val="ListParagraph"/>
        <w:numPr>
          <w:ilvl w:val="0"/>
          <w:numId w:val="5"/>
        </w:numPr>
        <w:spacing w:after="0" w:line="240" w:lineRule="auto"/>
        <w:jc w:val="both"/>
      </w:pPr>
      <w:r>
        <w:t>Negligence by Collecting Cashiers;</w:t>
      </w:r>
    </w:p>
    <w:p w:rsidR="0094072C" w:rsidRPr="0094072C" w:rsidRDefault="0094072C" w:rsidP="000C6D41">
      <w:pPr>
        <w:pStyle w:val="ListParagraph"/>
        <w:spacing w:after="0" w:line="240" w:lineRule="auto"/>
        <w:ind w:left="360"/>
        <w:jc w:val="both"/>
        <w:rPr>
          <w:sz w:val="22"/>
        </w:rPr>
      </w:pPr>
    </w:p>
    <w:p w:rsidR="00EE0514" w:rsidRDefault="00EE0514" w:rsidP="000C6D41">
      <w:pPr>
        <w:pStyle w:val="ListParagraph"/>
        <w:numPr>
          <w:ilvl w:val="0"/>
          <w:numId w:val="5"/>
        </w:numPr>
        <w:spacing w:after="0" w:line="240" w:lineRule="auto"/>
        <w:jc w:val="both"/>
      </w:pPr>
      <w:r>
        <w:lastRenderedPageBreak/>
        <w:t>Vehicle owners involved having produced books with forged engine capacities.</w:t>
      </w:r>
    </w:p>
    <w:p w:rsidR="00EE0514" w:rsidRDefault="00EE0514" w:rsidP="000C6D41">
      <w:pPr>
        <w:spacing w:after="0" w:line="240" w:lineRule="auto"/>
        <w:jc w:val="both"/>
      </w:pPr>
    </w:p>
    <w:p w:rsidR="00EE0514" w:rsidRPr="00152DF5" w:rsidRDefault="00B83C6A" w:rsidP="000C6D41">
      <w:pPr>
        <w:spacing w:after="0" w:line="240" w:lineRule="auto"/>
        <w:jc w:val="both"/>
        <w:rPr>
          <w:b/>
          <w:i/>
        </w:rPr>
      </w:pPr>
      <w:r>
        <w:rPr>
          <w:b/>
          <w:i/>
        </w:rPr>
        <w:t>8.2</w:t>
      </w:r>
      <w:r w:rsidR="00EE0514">
        <w:rPr>
          <w:b/>
          <w:i/>
        </w:rPr>
        <w:t>.2</w:t>
      </w:r>
      <w:r w:rsidR="00EE0514">
        <w:rPr>
          <w:b/>
          <w:i/>
        </w:rPr>
        <w:tab/>
      </w:r>
      <w:r w:rsidR="00EE0514" w:rsidRPr="00152DF5">
        <w:rPr>
          <w:b/>
          <w:i/>
        </w:rPr>
        <w:t xml:space="preserve">Rodrigues </w:t>
      </w:r>
    </w:p>
    <w:p w:rsidR="00EE0514" w:rsidRDefault="00EE0514" w:rsidP="000C6D41">
      <w:pPr>
        <w:spacing w:after="0" w:line="240" w:lineRule="auto"/>
        <w:jc w:val="both"/>
      </w:pPr>
    </w:p>
    <w:p w:rsidR="00EE0514" w:rsidRDefault="00EE0514" w:rsidP="000C6D41">
      <w:pPr>
        <w:spacing w:after="0" w:line="240" w:lineRule="auto"/>
        <w:jc w:val="both"/>
        <w:rPr>
          <w:szCs w:val="24"/>
        </w:rPr>
      </w:pPr>
      <w:r>
        <w:t xml:space="preserve">Motor Vehicle </w:t>
      </w:r>
      <w:proofErr w:type="spellStart"/>
      <w:r>
        <w:t>licences</w:t>
      </w:r>
      <w:proofErr w:type="spellEnd"/>
      <w:r>
        <w:t xml:space="preserve"> booklets were also issued to Rodrigues for collection of road tax. During financial year 2016-17, some Rs 16.7 million were collected. However, us</w:t>
      </w:r>
      <w:r w:rsidRPr="00D51B7A">
        <w:rPr>
          <w:szCs w:val="24"/>
        </w:rPr>
        <w:t xml:space="preserve">ed booklets were </w:t>
      </w:r>
      <w:r>
        <w:rPr>
          <w:szCs w:val="24"/>
        </w:rPr>
        <w:t>never</w:t>
      </w:r>
      <w:r w:rsidRPr="00D51B7A">
        <w:rPr>
          <w:szCs w:val="24"/>
        </w:rPr>
        <w:t xml:space="preserve"> returned to the NTA for reconciliation and verification purposes.</w:t>
      </w:r>
      <w:r>
        <w:rPr>
          <w:szCs w:val="24"/>
        </w:rPr>
        <w:t xml:space="preserve"> </w:t>
      </w:r>
      <w:r w:rsidRPr="00D51B7A">
        <w:rPr>
          <w:szCs w:val="24"/>
        </w:rPr>
        <w:t xml:space="preserve">Thus, </w:t>
      </w:r>
      <w:r>
        <w:rPr>
          <w:szCs w:val="24"/>
        </w:rPr>
        <w:t xml:space="preserve">completeness </w:t>
      </w:r>
      <w:r w:rsidRPr="00D51B7A">
        <w:rPr>
          <w:szCs w:val="24"/>
        </w:rPr>
        <w:t>and accuracy of the figures reported in Treasury Abstract</w:t>
      </w:r>
      <w:r w:rsidR="00143A1A">
        <w:rPr>
          <w:szCs w:val="24"/>
        </w:rPr>
        <w:t>s</w:t>
      </w:r>
      <w:r w:rsidRPr="00D51B7A">
        <w:rPr>
          <w:szCs w:val="24"/>
        </w:rPr>
        <w:t xml:space="preserve"> regarding amounts being remitted by Rodrigues </w:t>
      </w:r>
      <w:r>
        <w:rPr>
          <w:szCs w:val="24"/>
        </w:rPr>
        <w:t>could not be ascertained</w:t>
      </w:r>
      <w:r w:rsidRPr="00D51B7A">
        <w:rPr>
          <w:szCs w:val="24"/>
        </w:rPr>
        <w:t>.</w:t>
      </w:r>
    </w:p>
    <w:p w:rsidR="00EE0514" w:rsidRDefault="00EE0514" w:rsidP="000C6D41">
      <w:pPr>
        <w:spacing w:after="0" w:line="240" w:lineRule="auto"/>
        <w:jc w:val="both"/>
        <w:rPr>
          <w:b/>
          <w:i/>
        </w:rPr>
      </w:pPr>
    </w:p>
    <w:p w:rsidR="00EE0514" w:rsidRDefault="00EE0514" w:rsidP="000C6D41">
      <w:pPr>
        <w:spacing w:after="0" w:line="240" w:lineRule="auto"/>
        <w:jc w:val="both"/>
        <w:rPr>
          <w:b/>
          <w:i/>
        </w:rPr>
      </w:pPr>
      <w:r w:rsidRPr="00152DF5">
        <w:rPr>
          <w:b/>
          <w:i/>
        </w:rPr>
        <w:t>Recommendations</w:t>
      </w:r>
    </w:p>
    <w:p w:rsidR="00EE0514" w:rsidRPr="00152DF5" w:rsidRDefault="00EE0514" w:rsidP="000C6D41">
      <w:pPr>
        <w:spacing w:after="0" w:line="240" w:lineRule="auto"/>
        <w:jc w:val="both"/>
        <w:rPr>
          <w:b/>
          <w:i/>
        </w:rPr>
      </w:pPr>
    </w:p>
    <w:p w:rsidR="00EE0514" w:rsidRDefault="00EE0514" w:rsidP="000C6D41">
      <w:pPr>
        <w:spacing w:after="0" w:line="240" w:lineRule="auto"/>
        <w:jc w:val="both"/>
      </w:pPr>
      <w:r w:rsidRPr="00A971ED">
        <w:t xml:space="preserve">The NTA should take necessary measures such as: </w:t>
      </w:r>
    </w:p>
    <w:p w:rsidR="00EE0514" w:rsidRPr="00A971ED" w:rsidRDefault="00EE0514" w:rsidP="000C6D41">
      <w:pPr>
        <w:spacing w:after="0" w:line="240" w:lineRule="auto"/>
        <w:jc w:val="both"/>
      </w:pPr>
    </w:p>
    <w:p w:rsidR="00EE0514" w:rsidRDefault="00EE0514" w:rsidP="000C6D41">
      <w:pPr>
        <w:pStyle w:val="ListParagraph"/>
        <w:numPr>
          <w:ilvl w:val="0"/>
          <w:numId w:val="6"/>
        </w:numPr>
        <w:spacing w:after="0" w:line="240" w:lineRule="auto"/>
        <w:jc w:val="both"/>
      </w:pPr>
      <w:r>
        <w:t xml:space="preserve">Investigation on cases of underpayments of </w:t>
      </w:r>
      <w:proofErr w:type="spellStart"/>
      <w:r>
        <w:t>licences</w:t>
      </w:r>
      <w:proofErr w:type="spellEnd"/>
      <w:r>
        <w:t xml:space="preserve"> at Curepipe District Cash Office. Collections prior to July 2015 should be verified with a view to detect</w:t>
      </w:r>
      <w:r w:rsidR="003D3409">
        <w:t>ing</w:t>
      </w:r>
      <w:r>
        <w:t xml:space="preserve"> other possible cases; </w:t>
      </w:r>
    </w:p>
    <w:p w:rsidR="003D3409" w:rsidRDefault="003D3409" w:rsidP="000C6D41">
      <w:pPr>
        <w:pStyle w:val="ListParagraph"/>
        <w:spacing w:after="0" w:line="240" w:lineRule="auto"/>
        <w:ind w:left="360"/>
        <w:jc w:val="both"/>
      </w:pPr>
    </w:p>
    <w:p w:rsidR="00EE0514" w:rsidRDefault="00EE0514" w:rsidP="000C6D41">
      <w:pPr>
        <w:pStyle w:val="ListParagraph"/>
        <w:numPr>
          <w:ilvl w:val="0"/>
          <w:numId w:val="6"/>
        </w:numPr>
        <w:spacing w:after="0" w:line="240" w:lineRule="auto"/>
        <w:jc w:val="both"/>
      </w:pPr>
      <w:r>
        <w:t xml:space="preserve">Claiming reimbursement of underpayments by vehicle owners; </w:t>
      </w:r>
    </w:p>
    <w:p w:rsidR="00EE0514" w:rsidRDefault="00EE0514" w:rsidP="000C6D41">
      <w:pPr>
        <w:pStyle w:val="ListParagraph"/>
        <w:spacing w:after="0" w:line="240" w:lineRule="auto"/>
      </w:pPr>
    </w:p>
    <w:p w:rsidR="00EE0514" w:rsidRDefault="00EE0514" w:rsidP="000C6D41">
      <w:pPr>
        <w:pStyle w:val="ListParagraph"/>
        <w:numPr>
          <w:ilvl w:val="0"/>
          <w:numId w:val="6"/>
        </w:numPr>
        <w:spacing w:after="0" w:line="240" w:lineRule="auto"/>
        <w:jc w:val="both"/>
      </w:pPr>
      <w:r>
        <w:t>Allowing access to its database of vehicles to collecting cashiers to verify cylinder capacities;</w:t>
      </w:r>
    </w:p>
    <w:p w:rsidR="00EE0514" w:rsidRDefault="00EE0514" w:rsidP="000C6D41">
      <w:pPr>
        <w:pStyle w:val="ListParagraph"/>
        <w:spacing w:after="0" w:line="240" w:lineRule="auto"/>
      </w:pPr>
    </w:p>
    <w:p w:rsidR="00EE0514" w:rsidRDefault="00EE0514" w:rsidP="000C6D41">
      <w:pPr>
        <w:pStyle w:val="ListParagraph"/>
        <w:numPr>
          <w:ilvl w:val="0"/>
          <w:numId w:val="6"/>
        </w:numPr>
        <w:spacing w:after="0" w:line="240" w:lineRule="auto"/>
        <w:jc w:val="both"/>
      </w:pPr>
      <w:r>
        <w:t>Taking up the matter with the Treasury so as to reinfor</w:t>
      </w:r>
      <w:r w:rsidR="000C7346">
        <w:t xml:space="preserve">ce control measures at </w:t>
      </w:r>
      <w:r>
        <w:t>District Cash Office</w:t>
      </w:r>
      <w:r w:rsidR="000C7346">
        <w:t>s</w:t>
      </w:r>
      <w:r>
        <w:t>;</w:t>
      </w:r>
    </w:p>
    <w:p w:rsidR="00EE0514" w:rsidRDefault="00EE0514" w:rsidP="000C6D41">
      <w:pPr>
        <w:pStyle w:val="ListParagraph"/>
        <w:spacing w:after="0" w:line="240" w:lineRule="auto"/>
      </w:pPr>
    </w:p>
    <w:p w:rsidR="000378BE" w:rsidRDefault="00EE0514" w:rsidP="000C6D41">
      <w:pPr>
        <w:pStyle w:val="ListParagraph"/>
        <w:numPr>
          <w:ilvl w:val="0"/>
          <w:numId w:val="6"/>
        </w:numPr>
        <w:spacing w:after="0" w:line="240" w:lineRule="auto"/>
        <w:jc w:val="both"/>
      </w:pPr>
      <w:r>
        <w:t xml:space="preserve">Require the NTA at Rodrigues to return all used </w:t>
      </w:r>
      <w:proofErr w:type="spellStart"/>
      <w:r>
        <w:t>licences</w:t>
      </w:r>
      <w:proofErr w:type="spellEnd"/>
      <w:r>
        <w:t xml:space="preserve"> booklets for verification purpose.</w:t>
      </w:r>
    </w:p>
    <w:p w:rsidR="00A32216" w:rsidRDefault="00A32216" w:rsidP="000C6D41">
      <w:pPr>
        <w:pStyle w:val="ListParagraph"/>
        <w:spacing w:after="0" w:line="240" w:lineRule="auto"/>
        <w:ind w:left="360"/>
        <w:jc w:val="both"/>
      </w:pPr>
    </w:p>
    <w:p w:rsidR="003619C1" w:rsidRDefault="003619C1" w:rsidP="000C6D41">
      <w:pPr>
        <w:pStyle w:val="ListParagraph"/>
        <w:spacing w:after="0" w:line="240" w:lineRule="auto"/>
        <w:ind w:left="360"/>
        <w:jc w:val="both"/>
      </w:pPr>
    </w:p>
    <w:p w:rsidR="003619C1" w:rsidRDefault="003619C1" w:rsidP="000C6D41">
      <w:pPr>
        <w:pStyle w:val="ListParagraph"/>
        <w:spacing w:after="0" w:line="240" w:lineRule="auto"/>
        <w:ind w:left="0"/>
        <w:jc w:val="both"/>
      </w:pPr>
      <w:r w:rsidRPr="003619C1">
        <w:rPr>
          <w:b/>
          <w:i/>
        </w:rPr>
        <w:t>NTA’s Reply</w:t>
      </w:r>
    </w:p>
    <w:p w:rsidR="003619C1" w:rsidRDefault="003619C1" w:rsidP="000C6D41">
      <w:pPr>
        <w:pStyle w:val="ListParagraph"/>
        <w:spacing w:after="0" w:line="240" w:lineRule="auto"/>
        <w:ind w:left="0"/>
        <w:jc w:val="both"/>
      </w:pPr>
    </w:p>
    <w:p w:rsidR="003619C1" w:rsidRPr="003619C1" w:rsidRDefault="003619C1" w:rsidP="000C6D41">
      <w:pPr>
        <w:pStyle w:val="ListParagraph"/>
        <w:spacing w:after="0" w:line="240" w:lineRule="auto"/>
        <w:ind w:left="0"/>
        <w:jc w:val="both"/>
      </w:pPr>
      <w:r>
        <w:t>Out of 157 cases resulting in an under payment of Rs 573,250, a sum of Rs 483,450 has been recovered.</w:t>
      </w:r>
    </w:p>
    <w:p w:rsidR="00422FCD" w:rsidRDefault="00AA0094" w:rsidP="000C6D41">
      <w:pPr>
        <w:spacing w:line="240" w:lineRule="auto"/>
      </w:pPr>
      <w:r>
        <w:rPr>
          <w:noProof/>
          <w:lang w:val="en-GB" w:eastAsia="en-GB"/>
        </w:rPr>
        <w:pict w14:anchorId="0409CB14">
          <v:shape id="_x0000_s1027" type="#_x0000_t202" style="position:absolute;margin-left:390pt;margin-top:262.85pt;width:105.35pt;height:22.5pt;z-index:251659264;visibility:visible;mso-wrap-distance-top:3.6pt;mso-wrap-distance-bottom:3.6pt;mso-width-relative:margin;mso-height-relative:margin" stroked="f">
            <v:textbox>
              <w:txbxContent>
                <w:p w:rsidR="00BA32E8" w:rsidRPr="009F119E" w:rsidRDefault="00AA0094" w:rsidP="00BA32E8">
                  <w:pPr>
                    <w:jc w:val="center"/>
                    <w:rPr>
                      <w:color w:val="7030A0"/>
                      <w:u w:val="single"/>
                    </w:rPr>
                  </w:pPr>
                  <w:hyperlink r:id="rId9" w:history="1">
                    <w:r w:rsidR="00BA32E8" w:rsidRPr="009F119E">
                      <w:rPr>
                        <w:rStyle w:val="Hyperlink"/>
                      </w:rPr>
                      <w:t>Back to Contents</w:t>
                    </w:r>
                  </w:hyperlink>
                </w:p>
              </w:txbxContent>
            </v:textbox>
            <w10:wrap type="square"/>
          </v:shape>
        </w:pict>
      </w:r>
      <w:r w:rsidR="00422FCD">
        <w:br w:type="page"/>
      </w:r>
    </w:p>
    <w:p w:rsidR="00A32216" w:rsidRDefault="00A32216" w:rsidP="000C6D41">
      <w:pPr>
        <w:pStyle w:val="ListParagraph"/>
        <w:spacing w:after="0" w:line="240" w:lineRule="auto"/>
        <w:ind w:left="360"/>
        <w:jc w:val="both"/>
      </w:pPr>
    </w:p>
    <w:sectPr w:rsidR="00A32216" w:rsidSect="008E6BB6">
      <w:footerReference w:type="default" r:id="rId10"/>
      <w:headerReference w:type="first" r:id="rId11"/>
      <w:footerReference w:type="first" r:id="rId12"/>
      <w:pgSz w:w="11909" w:h="16834" w:code="9"/>
      <w:pgMar w:top="1440" w:right="1440" w:bottom="1440" w:left="1800" w:header="720" w:footer="720" w:gutter="0"/>
      <w:pgNumType w:start="1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09" w:rsidRDefault="003D3409" w:rsidP="008960A3">
      <w:pPr>
        <w:spacing w:after="0" w:line="240" w:lineRule="auto"/>
      </w:pPr>
      <w:r>
        <w:separator/>
      </w:r>
    </w:p>
  </w:endnote>
  <w:endnote w:type="continuationSeparator" w:id="0">
    <w:p w:rsidR="003D3409" w:rsidRDefault="003D3409" w:rsidP="0089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8629"/>
      <w:docPartObj>
        <w:docPartGallery w:val="Page Numbers (Bottom of Page)"/>
        <w:docPartUnique/>
      </w:docPartObj>
    </w:sdtPr>
    <w:sdtEndPr/>
    <w:sdtContent>
      <w:p w:rsidR="003D3409" w:rsidRPr="008960A3" w:rsidRDefault="003D3409" w:rsidP="008960A3">
        <w:pPr>
          <w:tabs>
            <w:tab w:val="center" w:pos="4680"/>
            <w:tab w:val="right" w:pos="9360"/>
          </w:tabs>
          <w:spacing w:after="0" w:line="240" w:lineRule="auto"/>
          <w:jc w:val="center"/>
          <w:rPr>
            <w:szCs w:val="24"/>
          </w:rPr>
        </w:pPr>
        <w:r w:rsidRPr="008960A3">
          <w:rPr>
            <w:szCs w:val="24"/>
          </w:rPr>
          <w:fldChar w:fldCharType="begin"/>
        </w:r>
        <w:r w:rsidRPr="008960A3">
          <w:rPr>
            <w:szCs w:val="24"/>
          </w:rPr>
          <w:instrText xml:space="preserve"> PAGE   \* MERGEFORMAT </w:instrText>
        </w:r>
        <w:r w:rsidRPr="008960A3">
          <w:rPr>
            <w:szCs w:val="24"/>
          </w:rPr>
          <w:fldChar w:fldCharType="separate"/>
        </w:r>
        <w:r w:rsidR="00AA0094">
          <w:rPr>
            <w:noProof/>
            <w:szCs w:val="24"/>
          </w:rPr>
          <w:t>180</w:t>
        </w:r>
        <w:r w:rsidRPr="008960A3">
          <w:rPr>
            <w:szCs w:val="24"/>
          </w:rPr>
          <w:fldChar w:fldCharType="end"/>
        </w:r>
      </w:p>
    </w:sdtContent>
  </w:sdt>
  <w:p w:rsidR="003D3409" w:rsidRPr="008960A3" w:rsidRDefault="003D3409" w:rsidP="008960A3">
    <w:pPr>
      <w:widowControl w:val="0"/>
      <w:tabs>
        <w:tab w:val="center" w:pos="4680"/>
        <w:tab w:val="right" w:pos="9360"/>
      </w:tabs>
      <w:spacing w:after="0" w:line="240" w:lineRule="auto"/>
      <w:jc w:val="center"/>
      <w:rPr>
        <w:rFonts w:eastAsia="Times New Roman"/>
        <w:sz w:val="18"/>
        <w:szCs w:val="18"/>
      </w:rPr>
    </w:pPr>
    <w:r w:rsidRPr="008960A3">
      <w:rPr>
        <w:rFonts w:eastAsia="Times New Roman"/>
        <w:smallCaps/>
        <w:sz w:val="18"/>
        <w:szCs w:val="18"/>
      </w:rPr>
      <w:t>Ministry of Public Infrastructure and Land Transport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468505"/>
      <w:docPartObj>
        <w:docPartGallery w:val="Page Numbers (Bottom of Page)"/>
        <w:docPartUnique/>
      </w:docPartObj>
    </w:sdtPr>
    <w:sdtEndPr/>
    <w:sdtContent>
      <w:p w:rsidR="003D3409" w:rsidRPr="008960A3" w:rsidRDefault="003D3409" w:rsidP="008960A3">
        <w:pPr>
          <w:tabs>
            <w:tab w:val="center" w:pos="4680"/>
            <w:tab w:val="right" w:pos="9360"/>
          </w:tabs>
          <w:spacing w:after="0" w:line="240" w:lineRule="auto"/>
          <w:jc w:val="center"/>
          <w:rPr>
            <w:szCs w:val="24"/>
          </w:rPr>
        </w:pPr>
        <w:r w:rsidRPr="008960A3">
          <w:rPr>
            <w:szCs w:val="24"/>
          </w:rPr>
          <w:fldChar w:fldCharType="begin"/>
        </w:r>
        <w:r w:rsidRPr="008960A3">
          <w:rPr>
            <w:szCs w:val="24"/>
          </w:rPr>
          <w:instrText xml:space="preserve"> PAGE   \* MERGEFORMAT </w:instrText>
        </w:r>
        <w:r w:rsidRPr="008960A3">
          <w:rPr>
            <w:szCs w:val="24"/>
          </w:rPr>
          <w:fldChar w:fldCharType="separate"/>
        </w:r>
        <w:r w:rsidR="00AA0094">
          <w:rPr>
            <w:noProof/>
            <w:szCs w:val="24"/>
          </w:rPr>
          <w:t>177</w:t>
        </w:r>
        <w:r w:rsidRPr="008960A3">
          <w:rPr>
            <w:szCs w:val="24"/>
          </w:rPr>
          <w:fldChar w:fldCharType="end"/>
        </w:r>
      </w:p>
    </w:sdtContent>
  </w:sdt>
  <w:p w:rsidR="003D3409" w:rsidRPr="008960A3" w:rsidRDefault="003D3409" w:rsidP="008960A3">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09" w:rsidRDefault="003D3409" w:rsidP="008960A3">
      <w:pPr>
        <w:spacing w:after="0" w:line="240" w:lineRule="auto"/>
      </w:pPr>
      <w:r>
        <w:separator/>
      </w:r>
    </w:p>
  </w:footnote>
  <w:footnote w:type="continuationSeparator" w:id="0">
    <w:p w:rsidR="003D3409" w:rsidRDefault="003D3409" w:rsidP="00896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9" w:rsidRPr="00A32216" w:rsidRDefault="003D3409" w:rsidP="00892EEC">
    <w:pPr>
      <w:spacing w:after="0"/>
      <w:jc w:val="center"/>
      <w:rPr>
        <w:b/>
        <w:smallCaps/>
        <w:sz w:val="40"/>
        <w:szCs w:val="40"/>
      </w:rPr>
    </w:pPr>
    <w:r>
      <w:rPr>
        <w:b/>
        <w:smallCaps/>
        <w:sz w:val="40"/>
        <w:szCs w:val="40"/>
      </w:rPr>
      <w:t xml:space="preserve">8 - </w:t>
    </w:r>
    <w:r w:rsidRPr="00A32216">
      <w:rPr>
        <w:b/>
        <w:smallCaps/>
        <w:sz w:val="40"/>
        <w:szCs w:val="40"/>
      </w:rPr>
      <w:t xml:space="preserve">Ministry of Public Infrastructure and </w:t>
    </w:r>
  </w:p>
  <w:p w:rsidR="003D3409" w:rsidRDefault="003D3409" w:rsidP="00892EEC">
    <w:pPr>
      <w:pStyle w:val="Header"/>
      <w:jc w:val="center"/>
    </w:pPr>
    <w:r w:rsidRPr="00A32216">
      <w:rPr>
        <w:b/>
        <w:smallCaps/>
        <w:sz w:val="40"/>
        <w:szCs w:val="40"/>
      </w:rPr>
      <w:t>Land Transport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149"/>
    <w:multiLevelType w:val="hybridMultilevel"/>
    <w:tmpl w:val="B07CFE52"/>
    <w:lvl w:ilvl="0" w:tplc="80AA66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87964DA"/>
    <w:multiLevelType w:val="hybridMultilevel"/>
    <w:tmpl w:val="F84C17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5A541C"/>
    <w:multiLevelType w:val="multilevel"/>
    <w:tmpl w:val="FB103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186994"/>
    <w:multiLevelType w:val="multilevel"/>
    <w:tmpl w:val="5E58B7D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B31A0B"/>
    <w:multiLevelType w:val="hybridMultilevel"/>
    <w:tmpl w:val="AE36EB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EA712F"/>
    <w:multiLevelType w:val="multilevel"/>
    <w:tmpl w:val="BC20B9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3E74CB"/>
    <w:multiLevelType w:val="hybridMultilevel"/>
    <w:tmpl w:val="C12E81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E67826"/>
    <w:multiLevelType w:val="hybridMultilevel"/>
    <w:tmpl w:val="233284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BE5B21"/>
    <w:multiLevelType w:val="hybridMultilevel"/>
    <w:tmpl w:val="516C3652"/>
    <w:lvl w:ilvl="0" w:tplc="E334FA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A91BDD"/>
    <w:rsid w:val="000378BE"/>
    <w:rsid w:val="000C6D41"/>
    <w:rsid w:val="000C7346"/>
    <w:rsid w:val="00143A1A"/>
    <w:rsid w:val="00170692"/>
    <w:rsid w:val="001D54C5"/>
    <w:rsid w:val="002F1136"/>
    <w:rsid w:val="00310E0F"/>
    <w:rsid w:val="00325A8E"/>
    <w:rsid w:val="003619C1"/>
    <w:rsid w:val="003D3409"/>
    <w:rsid w:val="00422FCD"/>
    <w:rsid w:val="004250A9"/>
    <w:rsid w:val="004B6DE4"/>
    <w:rsid w:val="00507E74"/>
    <w:rsid w:val="00650810"/>
    <w:rsid w:val="0065558F"/>
    <w:rsid w:val="00695CE0"/>
    <w:rsid w:val="006E69E3"/>
    <w:rsid w:val="00783DB1"/>
    <w:rsid w:val="00892EEC"/>
    <w:rsid w:val="008960A3"/>
    <w:rsid w:val="008E6BB6"/>
    <w:rsid w:val="0094072C"/>
    <w:rsid w:val="009560C0"/>
    <w:rsid w:val="00994E2B"/>
    <w:rsid w:val="009F58DA"/>
    <w:rsid w:val="009F6E67"/>
    <w:rsid w:val="00A01A75"/>
    <w:rsid w:val="00A32216"/>
    <w:rsid w:val="00A754B9"/>
    <w:rsid w:val="00A91BDD"/>
    <w:rsid w:val="00AA0094"/>
    <w:rsid w:val="00AD469B"/>
    <w:rsid w:val="00B36526"/>
    <w:rsid w:val="00B83C6A"/>
    <w:rsid w:val="00BA32E8"/>
    <w:rsid w:val="00BE5DAD"/>
    <w:rsid w:val="00C873F1"/>
    <w:rsid w:val="00E2320A"/>
    <w:rsid w:val="00E3491A"/>
    <w:rsid w:val="00E77AA5"/>
    <w:rsid w:val="00E87393"/>
    <w:rsid w:val="00EE0514"/>
    <w:rsid w:val="00F7099B"/>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35A6EAD-84A1-44B8-889C-367BFF84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1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14"/>
    <w:pPr>
      <w:ind w:left="720"/>
      <w:contextualSpacing/>
    </w:pPr>
  </w:style>
  <w:style w:type="paragraph" w:customStyle="1" w:styleId="Normal1">
    <w:name w:val="Normal1"/>
    <w:basedOn w:val="Normal"/>
    <w:rsid w:val="00EE0514"/>
    <w:pPr>
      <w:spacing w:after="0" w:line="240" w:lineRule="auto"/>
    </w:pPr>
    <w:rPr>
      <w:rFonts w:eastAsia="Times New Roman"/>
      <w:szCs w:val="24"/>
    </w:rPr>
  </w:style>
  <w:style w:type="character" w:customStyle="1" w:styleId="s950c43291">
    <w:name w:val="s_950c43291"/>
    <w:basedOn w:val="DefaultParagraphFont"/>
    <w:rsid w:val="00EE0514"/>
    <w:rPr>
      <w:rFonts w:ascii="Times New Roman" w:hAnsi="Times New Roman" w:cs="Times New Roman" w:hint="default"/>
    </w:rPr>
  </w:style>
  <w:style w:type="paragraph" w:styleId="Header">
    <w:name w:val="header"/>
    <w:basedOn w:val="Normal"/>
    <w:link w:val="HeaderChar"/>
    <w:uiPriority w:val="99"/>
    <w:unhideWhenUsed/>
    <w:rsid w:val="00896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A3"/>
    <w:rPr>
      <w:rFonts w:eastAsia="Calibri" w:cs="Times New Roman"/>
    </w:rPr>
  </w:style>
  <w:style w:type="paragraph" w:styleId="Footer">
    <w:name w:val="footer"/>
    <w:basedOn w:val="Normal"/>
    <w:link w:val="FooterChar"/>
    <w:uiPriority w:val="99"/>
    <w:unhideWhenUsed/>
    <w:rsid w:val="00896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A3"/>
    <w:rPr>
      <w:rFonts w:eastAsia="Calibri" w:cs="Times New Roman"/>
    </w:rPr>
  </w:style>
  <w:style w:type="paragraph" w:styleId="BalloonText">
    <w:name w:val="Balloon Text"/>
    <w:basedOn w:val="Normal"/>
    <w:link w:val="BalloonTextChar"/>
    <w:uiPriority w:val="99"/>
    <w:semiHidden/>
    <w:unhideWhenUsed/>
    <w:rsid w:val="008E6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B6"/>
    <w:rPr>
      <w:rFonts w:ascii="Segoe UI" w:eastAsia="Calibri" w:hAnsi="Segoe UI" w:cs="Segoe UI"/>
      <w:sz w:val="18"/>
      <w:szCs w:val="18"/>
    </w:rPr>
  </w:style>
  <w:style w:type="character" w:styleId="Hyperlink">
    <w:name w:val="Hyperlink"/>
    <w:basedOn w:val="DefaultParagraphFont"/>
    <w:uiPriority w:val="99"/>
    <w:unhideWhenUsed/>
    <w:rsid w:val="00BA32E8"/>
    <w:rPr>
      <w:rFonts w:cs="Times New Roman"/>
      <w:color w:val="0000FF" w:themeColor="hyperlink"/>
      <w:u w:val="single"/>
    </w:rPr>
  </w:style>
  <w:style w:type="character" w:styleId="FollowedHyperlink">
    <w:name w:val="FollowedHyperlink"/>
    <w:basedOn w:val="DefaultParagraphFont"/>
    <w:uiPriority w:val="99"/>
    <w:semiHidden/>
    <w:unhideWhenUsed/>
    <w:rsid w:val="00AA0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7370">
      <w:bodyDiv w:val="1"/>
      <w:marLeft w:val="0"/>
      <w:marRight w:val="0"/>
      <w:marTop w:val="0"/>
      <w:marBottom w:val="0"/>
      <w:divBdr>
        <w:top w:val="none" w:sz="0" w:space="0" w:color="auto"/>
        <w:left w:val="none" w:sz="0" w:space="0" w:color="auto"/>
        <w:bottom w:val="none" w:sz="0" w:space="0" w:color="auto"/>
        <w:right w:val="none" w:sz="0" w:space="0" w:color="auto"/>
      </w:divBdr>
    </w:div>
    <w:div w:id="14150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_001_Content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67DF-053F-428C-9814-A73BC3F4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23</cp:revision>
  <cp:lastPrinted>2018-02-26T14:14:00Z</cp:lastPrinted>
  <dcterms:created xsi:type="dcterms:W3CDTF">2018-02-12T06:23:00Z</dcterms:created>
  <dcterms:modified xsi:type="dcterms:W3CDTF">2018-03-26T05:14:00Z</dcterms:modified>
</cp:coreProperties>
</file>