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750" w:rsidRDefault="00586696" w:rsidP="00E13107">
      <w:pPr>
        <w:spacing w:after="0" w:line="240" w:lineRule="auto"/>
        <w:jc w:val="both"/>
        <w:rPr>
          <w:b/>
          <w:szCs w:val="24"/>
        </w:rPr>
      </w:pPr>
      <w:r>
        <w:rPr>
          <w:b/>
          <w:noProof/>
          <w:szCs w:val="24"/>
          <w:lang w:val="en-GB" w:eastAsia="en-GB"/>
        </w:rPr>
        <w:pict w14:anchorId="2E712AC7">
          <v:shapetype id="_x0000_t202" coordsize="21600,21600" o:spt="202" path="m,l,21600r21600,l21600,xe">
            <v:stroke joinstyle="miter"/>
            <v:path gradientshapeok="t" o:connecttype="rect"/>
          </v:shapetype>
          <v:shape id="Text Box 2" o:spid="_x0000_s1026" type="#_x0000_t202" style="position:absolute;left:0;text-align:left;margin-left:384.75pt;margin-top:-73pt;width:105.35pt;height:22.5pt;z-index:251658240;visibility:visible;mso-wrap-distance-top:3.6pt;mso-wrap-distance-bottom:3.6pt;mso-width-relative:margin;mso-height-relative:margin" stroked="f">
            <v:textbox>
              <w:txbxContent>
                <w:p w:rsidR="00E80616" w:rsidRPr="009F119E" w:rsidRDefault="00586696" w:rsidP="00E80616">
                  <w:pPr>
                    <w:jc w:val="center"/>
                    <w:rPr>
                      <w:color w:val="7030A0"/>
                      <w:u w:val="single"/>
                    </w:rPr>
                  </w:pPr>
                  <w:hyperlink r:id="rId7" w:history="1">
                    <w:r w:rsidR="00E80616" w:rsidRPr="009F119E">
                      <w:rPr>
                        <w:rStyle w:val="Hyperlink"/>
                      </w:rPr>
                      <w:t>Back to C</w:t>
                    </w:r>
                    <w:bookmarkStart w:id="0" w:name="_GoBack"/>
                    <w:r w:rsidR="00E80616" w:rsidRPr="009F119E">
                      <w:rPr>
                        <w:rStyle w:val="Hyperlink"/>
                      </w:rPr>
                      <w:t>o</w:t>
                    </w:r>
                    <w:bookmarkEnd w:id="0"/>
                    <w:r w:rsidR="00E80616" w:rsidRPr="009F119E">
                      <w:rPr>
                        <w:rStyle w:val="Hyperlink"/>
                      </w:rPr>
                      <w:t>ntents</w:t>
                    </w:r>
                  </w:hyperlink>
                </w:p>
              </w:txbxContent>
            </v:textbox>
            <w10:wrap type="square"/>
          </v:shape>
        </w:pict>
      </w:r>
    </w:p>
    <w:p w:rsidR="00E13107" w:rsidRDefault="00773750" w:rsidP="00E13107">
      <w:pPr>
        <w:spacing w:after="0" w:line="240" w:lineRule="auto"/>
        <w:jc w:val="both"/>
        <w:rPr>
          <w:b/>
          <w:szCs w:val="24"/>
        </w:rPr>
      </w:pPr>
      <w:r>
        <w:rPr>
          <w:b/>
          <w:szCs w:val="24"/>
        </w:rPr>
        <w:t>6.1</w:t>
      </w:r>
      <w:r w:rsidR="00E13107">
        <w:rPr>
          <w:b/>
          <w:szCs w:val="24"/>
        </w:rPr>
        <w:tab/>
        <w:t xml:space="preserve">Office Accommodation - SICOM Tower </w:t>
      </w:r>
    </w:p>
    <w:p w:rsidR="00E13107" w:rsidRDefault="00E13107" w:rsidP="00E13107">
      <w:pPr>
        <w:spacing w:after="0" w:line="240" w:lineRule="auto"/>
        <w:jc w:val="both"/>
        <w:rPr>
          <w:b/>
          <w:szCs w:val="24"/>
        </w:rPr>
      </w:pPr>
    </w:p>
    <w:p w:rsidR="00E13107" w:rsidRDefault="00E13107" w:rsidP="00E13107">
      <w:pPr>
        <w:spacing w:after="0" w:line="240" w:lineRule="auto"/>
        <w:jc w:val="both"/>
        <w:rPr>
          <w:szCs w:val="24"/>
        </w:rPr>
      </w:pPr>
      <w:r>
        <w:rPr>
          <w:szCs w:val="24"/>
        </w:rPr>
        <w:t>At paragraph 7.1 of the Audit Repor</w:t>
      </w:r>
      <w:r w:rsidR="00056F45">
        <w:rPr>
          <w:szCs w:val="24"/>
        </w:rPr>
        <w:t>t for the 18-month period 1 January</w:t>
      </w:r>
      <w:r>
        <w:rPr>
          <w:szCs w:val="24"/>
        </w:rPr>
        <w:t xml:space="preserve"> 2015 to 30 June 2016, I mentioned that on 20 May 2015, a Lease Agreement was entered into between SICOM Ltd and Government of Mauritius, represented by the Ministry of Finance and Economic Development (</w:t>
      </w:r>
      <w:proofErr w:type="spellStart"/>
      <w:r>
        <w:rPr>
          <w:szCs w:val="24"/>
        </w:rPr>
        <w:t>MoFED</w:t>
      </w:r>
      <w:proofErr w:type="spellEnd"/>
      <w:r>
        <w:rPr>
          <w:szCs w:val="24"/>
        </w:rPr>
        <w:t xml:space="preserve">) for the renting of 161,036 square feet of office space at the SICOM Tower, a building situated in Ebene and comprising ground floor plus 14 others, to house Ministries/ Departments/ Government Agencies/ Institutions for an initial period of 10 years. Initially, Floors 8 to 14 were </w:t>
      </w:r>
      <w:r w:rsidR="00056F45">
        <w:rPr>
          <w:szCs w:val="24"/>
        </w:rPr>
        <w:t xml:space="preserve">earmarked </w:t>
      </w:r>
      <w:r>
        <w:rPr>
          <w:szCs w:val="24"/>
        </w:rPr>
        <w:t>for the use of the Ministry of Financial Services, Good Governance and Institutional Reforms (</w:t>
      </w:r>
      <w:proofErr w:type="spellStart"/>
      <w:r>
        <w:rPr>
          <w:szCs w:val="24"/>
        </w:rPr>
        <w:t>MoFS</w:t>
      </w:r>
      <w:proofErr w:type="spellEnd"/>
      <w:r>
        <w:rPr>
          <w:szCs w:val="24"/>
        </w:rPr>
        <w:t xml:space="preserve">), whereas Ground Floor and Floors 1 to 7 were to be occupied by </w:t>
      </w:r>
      <w:proofErr w:type="spellStart"/>
      <w:r>
        <w:rPr>
          <w:szCs w:val="24"/>
        </w:rPr>
        <w:t>MoFED</w:t>
      </w:r>
      <w:proofErr w:type="spellEnd"/>
      <w:r>
        <w:rPr>
          <w:szCs w:val="24"/>
        </w:rPr>
        <w:t>.</w:t>
      </w:r>
    </w:p>
    <w:p w:rsidR="00E13107" w:rsidRDefault="00E13107" w:rsidP="00E13107">
      <w:pPr>
        <w:spacing w:after="0" w:line="240" w:lineRule="auto"/>
        <w:jc w:val="both"/>
        <w:rPr>
          <w:b/>
          <w:i/>
          <w:szCs w:val="24"/>
        </w:rPr>
      </w:pPr>
    </w:p>
    <w:p w:rsidR="00E13107" w:rsidRDefault="00E13107" w:rsidP="00E13107">
      <w:pPr>
        <w:spacing w:after="0" w:line="240" w:lineRule="auto"/>
        <w:jc w:val="both"/>
        <w:rPr>
          <w:szCs w:val="24"/>
        </w:rPr>
      </w:pPr>
      <w:r>
        <w:rPr>
          <w:szCs w:val="24"/>
        </w:rPr>
        <w:t xml:space="preserve">In March 2016, following changes in Ministerial portfolio which resulted in </w:t>
      </w:r>
      <w:proofErr w:type="spellStart"/>
      <w:r>
        <w:rPr>
          <w:szCs w:val="24"/>
        </w:rPr>
        <w:t>MoFED’s</w:t>
      </w:r>
      <w:proofErr w:type="spellEnd"/>
      <w:r>
        <w:rPr>
          <w:szCs w:val="24"/>
        </w:rPr>
        <w:t xml:space="preserve"> decision not to move to SICOM Tower in Ebene, office space was assigned to other Ministries/ Departments.</w:t>
      </w:r>
    </w:p>
    <w:p w:rsidR="00E13107" w:rsidRDefault="00E13107" w:rsidP="00E13107">
      <w:pPr>
        <w:spacing w:after="0" w:line="240" w:lineRule="auto"/>
        <w:rPr>
          <w:b/>
          <w:i/>
          <w:szCs w:val="24"/>
        </w:rPr>
      </w:pPr>
    </w:p>
    <w:p w:rsidR="00E13107" w:rsidRDefault="00773750" w:rsidP="00E13107">
      <w:pPr>
        <w:spacing w:after="0" w:line="240" w:lineRule="auto"/>
        <w:rPr>
          <w:b/>
          <w:i/>
          <w:szCs w:val="24"/>
        </w:rPr>
      </w:pPr>
      <w:r>
        <w:rPr>
          <w:b/>
          <w:i/>
          <w:szCs w:val="24"/>
        </w:rPr>
        <w:t>6.</w:t>
      </w:r>
      <w:r w:rsidR="00E13107">
        <w:rPr>
          <w:b/>
          <w:i/>
          <w:szCs w:val="24"/>
        </w:rPr>
        <w:t>1.1</w:t>
      </w:r>
      <w:r w:rsidR="00E13107">
        <w:rPr>
          <w:b/>
          <w:i/>
          <w:szCs w:val="24"/>
        </w:rPr>
        <w:tab/>
        <w:t>Rental Charges</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For 2016-17, rental charges </w:t>
      </w:r>
      <w:proofErr w:type="spellStart"/>
      <w:r>
        <w:rPr>
          <w:szCs w:val="24"/>
        </w:rPr>
        <w:t>totalling</w:t>
      </w:r>
      <w:proofErr w:type="spellEnd"/>
      <w:r>
        <w:rPr>
          <w:szCs w:val="24"/>
        </w:rPr>
        <w:t xml:space="preserve"> Rs 59,310,683 were paid to SICOM Ltd out of Vote 28.1: “Centrally Managed Initiativ</w:t>
      </w:r>
      <w:r w:rsidR="00056F45">
        <w:rPr>
          <w:szCs w:val="24"/>
        </w:rPr>
        <w:t>es of Government” – Item 2203:</w:t>
      </w:r>
      <w:r>
        <w:rPr>
          <w:szCs w:val="24"/>
        </w:rPr>
        <w:t xml:space="preserve"> “Rent”. These </w:t>
      </w:r>
      <w:proofErr w:type="gramStart"/>
      <w:r>
        <w:rPr>
          <w:szCs w:val="24"/>
        </w:rPr>
        <w:t>excluded</w:t>
      </w:r>
      <w:proofErr w:type="gramEnd"/>
      <w:r w:rsidR="00056F45">
        <w:rPr>
          <w:szCs w:val="24"/>
        </w:rPr>
        <w:t xml:space="preserve"> outstanding rental charges </w:t>
      </w:r>
      <w:r>
        <w:rPr>
          <w:szCs w:val="24"/>
        </w:rPr>
        <w:t>amounting to Rs 7,409,958 as at 30 June 2017 claimed by SICO</w:t>
      </w:r>
      <w:r w:rsidR="00056F45">
        <w:rPr>
          <w:szCs w:val="24"/>
        </w:rPr>
        <w:t xml:space="preserve">M Ltd. Details are given in </w:t>
      </w:r>
      <w:r>
        <w:rPr>
          <w:szCs w:val="24"/>
        </w:rPr>
        <w:t xml:space="preserve">Table </w:t>
      </w:r>
      <w:r w:rsidR="00773750">
        <w:rPr>
          <w:szCs w:val="24"/>
        </w:rPr>
        <w:t>6-</w:t>
      </w:r>
      <w:r w:rsidR="003B37AE">
        <w:rPr>
          <w:szCs w:val="24"/>
        </w:rPr>
        <w:t>1</w:t>
      </w:r>
      <w:r w:rsidR="00C47462">
        <w:rPr>
          <w:szCs w:val="24"/>
        </w:rPr>
        <w:t>.</w:t>
      </w:r>
    </w:p>
    <w:p w:rsidR="00773750" w:rsidRDefault="00773750" w:rsidP="00773750">
      <w:pPr>
        <w:spacing w:after="0" w:line="240" w:lineRule="auto"/>
        <w:jc w:val="both"/>
        <w:rPr>
          <w:szCs w:val="24"/>
        </w:rPr>
      </w:pPr>
    </w:p>
    <w:p w:rsidR="00E13107" w:rsidRDefault="00E13107" w:rsidP="00E13107">
      <w:pPr>
        <w:spacing w:after="0" w:line="240" w:lineRule="auto"/>
        <w:jc w:val="center"/>
        <w:rPr>
          <w:i/>
          <w:szCs w:val="24"/>
        </w:rPr>
      </w:pPr>
      <w:r>
        <w:rPr>
          <w:i/>
          <w:szCs w:val="24"/>
        </w:rPr>
        <w:t xml:space="preserve">Table </w:t>
      </w:r>
      <w:r w:rsidR="00773750">
        <w:rPr>
          <w:i/>
          <w:szCs w:val="24"/>
        </w:rPr>
        <w:t>6-</w:t>
      </w:r>
      <w:proofErr w:type="gramStart"/>
      <w:r w:rsidR="003B37AE">
        <w:rPr>
          <w:i/>
          <w:szCs w:val="24"/>
        </w:rPr>
        <w:t>1</w:t>
      </w:r>
      <w:r w:rsidR="00D67A2B">
        <w:rPr>
          <w:i/>
          <w:szCs w:val="24"/>
        </w:rPr>
        <w:t xml:space="preserve"> </w:t>
      </w:r>
      <w:r>
        <w:rPr>
          <w:i/>
          <w:szCs w:val="24"/>
        </w:rPr>
        <w:t xml:space="preserve"> Outstanding</w:t>
      </w:r>
      <w:proofErr w:type="gramEnd"/>
      <w:r>
        <w:rPr>
          <w:i/>
          <w:szCs w:val="24"/>
        </w:rPr>
        <w:t xml:space="preserve"> Rental Charges as at 30 June 2017</w:t>
      </w:r>
    </w:p>
    <w:p w:rsidR="00E13107" w:rsidRDefault="00E13107" w:rsidP="00E13107">
      <w:pPr>
        <w:spacing w:after="0" w:line="240" w:lineRule="auto"/>
        <w:jc w:val="both"/>
        <w:rPr>
          <w:i/>
          <w:szCs w:val="24"/>
        </w:rPr>
      </w:pPr>
    </w:p>
    <w:p w:rsidR="00E13107" w:rsidRDefault="00E13107" w:rsidP="00D02D37">
      <w:pPr>
        <w:pBdr>
          <w:top w:val="single" w:sz="4" w:space="1" w:color="auto"/>
        </w:pBdr>
        <w:spacing w:after="0" w:line="240" w:lineRule="auto"/>
        <w:jc w:val="both"/>
        <w:rPr>
          <w:szCs w:val="24"/>
        </w:rPr>
      </w:pPr>
    </w:p>
    <w:tbl>
      <w:tblPr>
        <w:tblW w:w="4849" w:type="dxa"/>
        <w:jc w:val="center"/>
        <w:tblLook w:val="04A0" w:firstRow="1" w:lastRow="0" w:firstColumn="1" w:lastColumn="0" w:noHBand="0" w:noVBand="1"/>
      </w:tblPr>
      <w:tblGrid>
        <w:gridCol w:w="1635"/>
        <w:gridCol w:w="3214"/>
      </w:tblGrid>
      <w:tr w:rsidR="00E13107" w:rsidTr="00004619">
        <w:trPr>
          <w:trHeight w:val="20"/>
          <w:jc w:val="center"/>
        </w:trPr>
        <w:tc>
          <w:tcPr>
            <w:tcW w:w="1635" w:type="dxa"/>
            <w:noWrap/>
            <w:tcMar>
              <w:bottom w:w="142" w:type="dxa"/>
            </w:tcMar>
            <w:hideMark/>
          </w:tcPr>
          <w:p w:rsidR="00E13107" w:rsidRDefault="00E13107">
            <w:pPr>
              <w:spacing w:after="0" w:line="240" w:lineRule="auto"/>
              <w:rPr>
                <w:rFonts w:eastAsia="Times New Roman"/>
                <w:b/>
                <w:color w:val="000000"/>
                <w:szCs w:val="24"/>
              </w:rPr>
            </w:pPr>
            <w:r>
              <w:rPr>
                <w:rFonts w:eastAsia="Times New Roman"/>
                <w:b/>
                <w:color w:val="000000"/>
                <w:szCs w:val="24"/>
              </w:rPr>
              <w:t xml:space="preserve">Floor </w:t>
            </w:r>
          </w:p>
        </w:tc>
        <w:tc>
          <w:tcPr>
            <w:tcW w:w="3214" w:type="dxa"/>
            <w:noWrap/>
            <w:tcMar>
              <w:bottom w:w="142" w:type="dxa"/>
            </w:tcMar>
            <w:hideMark/>
          </w:tcPr>
          <w:p w:rsidR="00E13107" w:rsidRDefault="00E13107">
            <w:pPr>
              <w:spacing w:after="0" w:line="240" w:lineRule="auto"/>
              <w:jc w:val="center"/>
              <w:rPr>
                <w:rFonts w:eastAsia="Times New Roman"/>
                <w:b/>
                <w:color w:val="000000"/>
                <w:szCs w:val="24"/>
              </w:rPr>
            </w:pPr>
            <w:r>
              <w:rPr>
                <w:rFonts w:eastAsia="Times New Roman"/>
                <w:b/>
                <w:color w:val="000000"/>
                <w:szCs w:val="24"/>
              </w:rPr>
              <w:t xml:space="preserve">Outstanding Rental Charges </w:t>
            </w:r>
          </w:p>
          <w:p w:rsidR="00E13107" w:rsidRDefault="00056F45">
            <w:pPr>
              <w:spacing w:after="0" w:line="240" w:lineRule="auto"/>
              <w:jc w:val="center"/>
              <w:rPr>
                <w:rFonts w:eastAsia="Times New Roman"/>
                <w:b/>
                <w:color w:val="000000"/>
                <w:szCs w:val="24"/>
              </w:rPr>
            </w:pPr>
            <w:r>
              <w:rPr>
                <w:rFonts w:eastAsia="Times New Roman"/>
                <w:b/>
                <w:color w:val="000000"/>
                <w:szCs w:val="24"/>
              </w:rPr>
              <w:t>as at</w:t>
            </w:r>
            <w:r w:rsidR="00E13107">
              <w:rPr>
                <w:rFonts w:eastAsia="Times New Roman"/>
                <w:b/>
                <w:color w:val="000000"/>
                <w:szCs w:val="24"/>
              </w:rPr>
              <w:t xml:space="preserve"> 30 June 2017</w:t>
            </w:r>
          </w:p>
          <w:p w:rsidR="00E13107" w:rsidRDefault="00E13107">
            <w:pPr>
              <w:spacing w:after="0" w:line="240" w:lineRule="auto"/>
              <w:jc w:val="center"/>
              <w:rPr>
                <w:rFonts w:eastAsia="Times New Roman"/>
                <w:color w:val="000000"/>
                <w:szCs w:val="24"/>
              </w:rPr>
            </w:pPr>
            <w:r>
              <w:rPr>
                <w:rFonts w:eastAsia="Times New Roman"/>
                <w:b/>
                <w:color w:val="000000"/>
                <w:szCs w:val="24"/>
              </w:rPr>
              <w:t>Rs</w:t>
            </w:r>
          </w:p>
        </w:tc>
      </w:tr>
      <w:tr w:rsidR="00E13107" w:rsidTr="00D54927">
        <w:trPr>
          <w:trHeight w:val="20"/>
          <w:jc w:val="center"/>
        </w:trPr>
        <w:tc>
          <w:tcPr>
            <w:tcW w:w="1635"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Level</w:t>
            </w:r>
            <w:r w:rsidR="00D67A2B">
              <w:rPr>
                <w:rFonts w:eastAsia="Times New Roman"/>
                <w:color w:val="000000"/>
                <w:szCs w:val="24"/>
              </w:rPr>
              <w:t xml:space="preserve"> </w:t>
            </w:r>
            <w:r>
              <w:rPr>
                <w:rFonts w:eastAsia="Times New Roman"/>
                <w:color w:val="000000"/>
                <w:szCs w:val="24"/>
              </w:rPr>
              <w:t>10</w:t>
            </w:r>
          </w:p>
        </w:tc>
        <w:tc>
          <w:tcPr>
            <w:tcW w:w="3214" w:type="dxa"/>
            <w:noWrap/>
            <w:tcMar>
              <w:bottom w:w="142" w:type="dxa"/>
            </w:tcMar>
            <w:vAlign w:val="bottom"/>
            <w:hideMark/>
          </w:tcPr>
          <w:p w:rsidR="00E13107" w:rsidRDefault="00E13107" w:rsidP="00D54927">
            <w:pPr>
              <w:spacing w:after="0" w:line="240" w:lineRule="auto"/>
              <w:ind w:right="981"/>
              <w:jc w:val="right"/>
              <w:rPr>
                <w:rFonts w:eastAsia="Times New Roman"/>
                <w:color w:val="000000"/>
                <w:szCs w:val="24"/>
              </w:rPr>
            </w:pPr>
            <w:r>
              <w:rPr>
                <w:rFonts w:eastAsia="Times New Roman"/>
                <w:color w:val="000000"/>
                <w:szCs w:val="24"/>
              </w:rPr>
              <w:t xml:space="preserve">5,630,497 </w:t>
            </w:r>
          </w:p>
        </w:tc>
      </w:tr>
      <w:tr w:rsidR="00E13107" w:rsidTr="00D54927">
        <w:trPr>
          <w:trHeight w:val="20"/>
          <w:jc w:val="center"/>
        </w:trPr>
        <w:tc>
          <w:tcPr>
            <w:tcW w:w="1635"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Ground Floor</w:t>
            </w:r>
          </w:p>
        </w:tc>
        <w:tc>
          <w:tcPr>
            <w:tcW w:w="3214" w:type="dxa"/>
            <w:noWrap/>
            <w:tcMar>
              <w:bottom w:w="142" w:type="dxa"/>
            </w:tcMar>
            <w:vAlign w:val="bottom"/>
            <w:hideMark/>
          </w:tcPr>
          <w:p w:rsidR="00E13107" w:rsidRDefault="00E13107" w:rsidP="00D54927">
            <w:pPr>
              <w:spacing w:after="0" w:line="240" w:lineRule="auto"/>
              <w:ind w:right="981"/>
              <w:jc w:val="right"/>
              <w:rPr>
                <w:rFonts w:eastAsia="Times New Roman"/>
                <w:color w:val="000000"/>
                <w:szCs w:val="24"/>
              </w:rPr>
            </w:pPr>
            <w:r>
              <w:rPr>
                <w:rFonts w:eastAsia="Times New Roman"/>
                <w:color w:val="000000"/>
                <w:szCs w:val="24"/>
              </w:rPr>
              <w:t xml:space="preserve">1,012,360 </w:t>
            </w:r>
          </w:p>
        </w:tc>
      </w:tr>
      <w:tr w:rsidR="00E13107" w:rsidTr="00D54927">
        <w:trPr>
          <w:trHeight w:val="20"/>
          <w:jc w:val="center"/>
        </w:trPr>
        <w:tc>
          <w:tcPr>
            <w:tcW w:w="1635"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Level</w:t>
            </w:r>
            <w:r w:rsidR="00D67A2B">
              <w:rPr>
                <w:rFonts w:eastAsia="Times New Roman"/>
                <w:color w:val="000000"/>
                <w:szCs w:val="24"/>
              </w:rPr>
              <w:t xml:space="preserve"> </w:t>
            </w:r>
            <w:r>
              <w:rPr>
                <w:rFonts w:eastAsia="Times New Roman"/>
                <w:color w:val="000000"/>
                <w:szCs w:val="24"/>
              </w:rPr>
              <w:t>1</w:t>
            </w:r>
          </w:p>
        </w:tc>
        <w:tc>
          <w:tcPr>
            <w:tcW w:w="3214" w:type="dxa"/>
            <w:noWrap/>
            <w:tcMar>
              <w:bottom w:w="142" w:type="dxa"/>
            </w:tcMar>
            <w:vAlign w:val="bottom"/>
            <w:hideMark/>
          </w:tcPr>
          <w:p w:rsidR="00E13107" w:rsidRDefault="00E13107" w:rsidP="00D54927">
            <w:pPr>
              <w:spacing w:after="0" w:line="240" w:lineRule="auto"/>
              <w:ind w:right="981"/>
              <w:jc w:val="right"/>
              <w:rPr>
                <w:rFonts w:eastAsia="Times New Roman"/>
                <w:color w:val="000000"/>
                <w:szCs w:val="24"/>
              </w:rPr>
            </w:pPr>
            <w:r>
              <w:rPr>
                <w:rFonts w:eastAsia="Times New Roman"/>
                <w:color w:val="000000"/>
                <w:szCs w:val="24"/>
              </w:rPr>
              <w:t xml:space="preserve">767,101 </w:t>
            </w:r>
          </w:p>
        </w:tc>
      </w:tr>
      <w:tr w:rsidR="00E13107" w:rsidTr="00D54927">
        <w:trPr>
          <w:trHeight w:val="20"/>
          <w:jc w:val="center"/>
        </w:trPr>
        <w:tc>
          <w:tcPr>
            <w:tcW w:w="1635" w:type="dxa"/>
            <w:noWrap/>
            <w:vAlign w:val="bottom"/>
            <w:hideMark/>
          </w:tcPr>
          <w:p w:rsidR="00E13107" w:rsidRDefault="00E13107" w:rsidP="00D54927">
            <w:pPr>
              <w:spacing w:after="0" w:line="240" w:lineRule="auto"/>
              <w:rPr>
                <w:rFonts w:eastAsia="Times New Roman"/>
                <w:b/>
                <w:color w:val="000000"/>
                <w:szCs w:val="24"/>
              </w:rPr>
            </w:pPr>
            <w:r>
              <w:rPr>
                <w:rFonts w:eastAsia="Times New Roman"/>
                <w:b/>
                <w:color w:val="000000"/>
                <w:szCs w:val="24"/>
              </w:rPr>
              <w:t>Total</w:t>
            </w:r>
          </w:p>
        </w:tc>
        <w:tc>
          <w:tcPr>
            <w:tcW w:w="3214" w:type="dxa"/>
            <w:noWrap/>
            <w:vAlign w:val="bottom"/>
            <w:hideMark/>
          </w:tcPr>
          <w:p w:rsidR="00E13107" w:rsidRDefault="00E13107" w:rsidP="00D54927">
            <w:pPr>
              <w:spacing w:after="0" w:line="240" w:lineRule="auto"/>
              <w:ind w:right="981"/>
              <w:jc w:val="right"/>
              <w:rPr>
                <w:rFonts w:eastAsia="Times New Roman"/>
                <w:b/>
                <w:bCs/>
                <w:color w:val="000000"/>
                <w:szCs w:val="24"/>
              </w:rPr>
            </w:pPr>
            <w:r>
              <w:rPr>
                <w:rFonts w:eastAsia="Times New Roman"/>
                <w:b/>
                <w:bCs/>
                <w:color w:val="000000"/>
                <w:szCs w:val="24"/>
              </w:rPr>
              <w:t xml:space="preserve">7,409,958 </w:t>
            </w:r>
          </w:p>
        </w:tc>
      </w:tr>
    </w:tbl>
    <w:p w:rsidR="00E13107" w:rsidRDefault="00E13107" w:rsidP="00D02D37">
      <w:pPr>
        <w:pBdr>
          <w:bottom w:val="single" w:sz="4" w:space="1" w:color="auto"/>
        </w:pBdr>
        <w:spacing w:after="0" w:line="240" w:lineRule="auto"/>
        <w:jc w:val="both"/>
        <w:rPr>
          <w:szCs w:val="24"/>
        </w:rPr>
      </w:pPr>
    </w:p>
    <w:p w:rsidR="00773750" w:rsidRPr="00056F45" w:rsidRDefault="00056F45" w:rsidP="00E13107">
      <w:pPr>
        <w:spacing w:after="0" w:line="240" w:lineRule="auto"/>
        <w:jc w:val="both"/>
        <w:rPr>
          <w:i/>
          <w:sz w:val="20"/>
          <w:szCs w:val="20"/>
        </w:rPr>
      </w:pPr>
      <w:r w:rsidRPr="00056F45">
        <w:rPr>
          <w:i/>
          <w:sz w:val="20"/>
          <w:szCs w:val="20"/>
        </w:rPr>
        <w:t>Source: Ministry’s records</w:t>
      </w:r>
    </w:p>
    <w:p w:rsidR="00056F45" w:rsidRDefault="00056F45" w:rsidP="00E13107">
      <w:pPr>
        <w:spacing w:after="0" w:line="240" w:lineRule="auto"/>
        <w:jc w:val="both"/>
        <w:rPr>
          <w:szCs w:val="24"/>
        </w:rPr>
      </w:pPr>
    </w:p>
    <w:p w:rsidR="00056F45" w:rsidRDefault="00056F45"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Floor 10 of the SICOM Tower was assigned and handed over to the Financial Intelligence Unit (FIU) in April 2016 and has remained unoccupied for more than one year up to July 2017. </w:t>
      </w:r>
    </w:p>
    <w:p w:rsidR="00E13107" w:rsidRDefault="00E13107" w:rsidP="00E13107">
      <w:pPr>
        <w:spacing w:after="0" w:line="240" w:lineRule="auto"/>
        <w:jc w:val="both"/>
        <w:rPr>
          <w:szCs w:val="24"/>
        </w:rPr>
      </w:pPr>
    </w:p>
    <w:p w:rsidR="00773750" w:rsidRDefault="00E13107" w:rsidP="00BB166C">
      <w:pPr>
        <w:spacing w:after="0" w:line="240" w:lineRule="auto"/>
        <w:jc w:val="both"/>
        <w:rPr>
          <w:b/>
          <w:i/>
          <w:szCs w:val="24"/>
        </w:rPr>
      </w:pPr>
      <w:r>
        <w:rPr>
          <w:szCs w:val="24"/>
        </w:rPr>
        <w:t>For this Floor, rental charges have been claimed by SICOM Ltd but were never paid.</w:t>
      </w:r>
      <w:r w:rsidR="00773750">
        <w:rPr>
          <w:b/>
          <w:i/>
          <w:szCs w:val="24"/>
        </w:rPr>
        <w:br w:type="page"/>
      </w:r>
    </w:p>
    <w:p w:rsidR="00E13107" w:rsidRDefault="00E13107" w:rsidP="00E13107">
      <w:pPr>
        <w:spacing w:after="0" w:line="240" w:lineRule="auto"/>
        <w:jc w:val="both"/>
        <w:rPr>
          <w:b/>
          <w:i/>
          <w:szCs w:val="24"/>
        </w:rPr>
      </w:pPr>
      <w:r>
        <w:rPr>
          <w:b/>
          <w:i/>
          <w:szCs w:val="24"/>
        </w:rPr>
        <w:lastRenderedPageBreak/>
        <w:t>Ministry’s Reply</w:t>
      </w:r>
    </w:p>
    <w:p w:rsidR="00E13107" w:rsidRDefault="00E13107" w:rsidP="00E13107">
      <w:pPr>
        <w:spacing w:after="0" w:line="240" w:lineRule="auto"/>
        <w:jc w:val="both"/>
        <w:rPr>
          <w:b/>
          <w:i/>
          <w:szCs w:val="24"/>
        </w:rPr>
      </w:pPr>
    </w:p>
    <w:p w:rsidR="00E13107" w:rsidRDefault="00E13107" w:rsidP="00E13107">
      <w:pPr>
        <w:tabs>
          <w:tab w:val="left" w:pos="2042"/>
        </w:tabs>
        <w:spacing w:after="0" w:line="240" w:lineRule="auto"/>
        <w:jc w:val="both"/>
        <w:rPr>
          <w:szCs w:val="24"/>
        </w:rPr>
      </w:pPr>
      <w:r>
        <w:rPr>
          <w:szCs w:val="24"/>
        </w:rPr>
        <w:t>Since SICOM Ltd had already handed over the floor to Government, there is a contractual obligation to pay rent whether occupied or not. Arrangements will be made for payment of the outstanding rental fee due for Level 10.</w:t>
      </w:r>
    </w:p>
    <w:p w:rsidR="00E13107" w:rsidRDefault="00E13107" w:rsidP="00E13107">
      <w:pPr>
        <w:tabs>
          <w:tab w:val="left" w:pos="2042"/>
        </w:tabs>
        <w:spacing w:after="0" w:line="240" w:lineRule="auto"/>
        <w:jc w:val="both"/>
        <w:rPr>
          <w:szCs w:val="24"/>
        </w:rPr>
      </w:pPr>
    </w:p>
    <w:p w:rsidR="00790E1B" w:rsidRDefault="00790E1B" w:rsidP="00E13107">
      <w:pPr>
        <w:tabs>
          <w:tab w:val="left" w:pos="2042"/>
        </w:tabs>
        <w:spacing w:after="0" w:line="240" w:lineRule="auto"/>
        <w:jc w:val="both"/>
        <w:rPr>
          <w:szCs w:val="24"/>
        </w:rPr>
      </w:pPr>
      <w:r>
        <w:rPr>
          <w:szCs w:val="24"/>
        </w:rPr>
        <w:t>The FIU, accommodated on Level 10, has informed that given its nature of work which is highly sensitive and complex, and for security reasons, the relocation of FIU from one area to another takes more time as compared to other Ministries/Departments.</w:t>
      </w:r>
      <w:r w:rsidR="003C3E99">
        <w:rPr>
          <w:szCs w:val="24"/>
        </w:rPr>
        <w:t xml:space="preserve"> </w:t>
      </w:r>
      <w:r>
        <w:rPr>
          <w:szCs w:val="24"/>
        </w:rPr>
        <w:t>Moreover</w:t>
      </w:r>
      <w:r w:rsidR="00056F45">
        <w:rPr>
          <w:szCs w:val="24"/>
        </w:rPr>
        <w:t>,</w:t>
      </w:r>
      <w:r>
        <w:rPr>
          <w:szCs w:val="24"/>
        </w:rPr>
        <w:t xml:space="preserve"> the works had to be stopped on two occasions due to acts of vandalism and robbery on Level 10.</w:t>
      </w:r>
    </w:p>
    <w:p w:rsidR="00790E1B" w:rsidRDefault="00790E1B" w:rsidP="00E13107">
      <w:pPr>
        <w:tabs>
          <w:tab w:val="left" w:pos="2042"/>
        </w:tabs>
        <w:spacing w:after="0" w:line="240" w:lineRule="auto"/>
        <w:jc w:val="both"/>
        <w:rPr>
          <w:szCs w:val="24"/>
        </w:rPr>
      </w:pPr>
    </w:p>
    <w:p w:rsidR="00E13107" w:rsidRDefault="00E13107" w:rsidP="00E13107">
      <w:pPr>
        <w:tabs>
          <w:tab w:val="left" w:pos="2042"/>
        </w:tabs>
        <w:spacing w:after="0" w:line="240" w:lineRule="auto"/>
        <w:jc w:val="both"/>
        <w:rPr>
          <w:szCs w:val="24"/>
        </w:rPr>
      </w:pPr>
      <w:r>
        <w:rPr>
          <w:szCs w:val="24"/>
        </w:rPr>
        <w:t xml:space="preserve">As regards Ground Floor (Rs </w:t>
      </w:r>
      <w:r>
        <w:rPr>
          <w:rFonts w:eastAsia="Times New Roman"/>
          <w:color w:val="000000"/>
          <w:szCs w:val="24"/>
        </w:rPr>
        <w:t xml:space="preserve">1,012,360) </w:t>
      </w:r>
      <w:r>
        <w:rPr>
          <w:szCs w:val="24"/>
        </w:rPr>
        <w:t xml:space="preserve">and Level 1 (Rs </w:t>
      </w:r>
      <w:r>
        <w:rPr>
          <w:rFonts w:eastAsia="Times New Roman"/>
          <w:color w:val="000000"/>
          <w:szCs w:val="24"/>
        </w:rPr>
        <w:t>767,101)</w:t>
      </w:r>
      <w:r>
        <w:rPr>
          <w:szCs w:val="24"/>
        </w:rPr>
        <w:t>, SICOM Ltd has been requested to waive the rental fee due. However, SICOM Ltd has so far not submitted any further claim pertaining thereto.</w:t>
      </w:r>
    </w:p>
    <w:p w:rsidR="00E13107" w:rsidRDefault="00E13107" w:rsidP="00E13107">
      <w:pPr>
        <w:spacing w:after="0" w:line="240" w:lineRule="auto"/>
        <w:jc w:val="both"/>
        <w:rPr>
          <w:szCs w:val="24"/>
        </w:rPr>
      </w:pPr>
    </w:p>
    <w:p w:rsidR="00E13107" w:rsidRDefault="00773750" w:rsidP="00E13107">
      <w:pPr>
        <w:spacing w:after="0" w:line="240" w:lineRule="auto"/>
        <w:jc w:val="both"/>
        <w:rPr>
          <w:b/>
          <w:i/>
          <w:szCs w:val="24"/>
        </w:rPr>
      </w:pPr>
      <w:r>
        <w:rPr>
          <w:b/>
          <w:i/>
          <w:szCs w:val="24"/>
        </w:rPr>
        <w:t>6.</w:t>
      </w:r>
      <w:r w:rsidR="00E13107">
        <w:rPr>
          <w:b/>
          <w:i/>
          <w:szCs w:val="24"/>
        </w:rPr>
        <w:t>1.2</w:t>
      </w:r>
      <w:r w:rsidR="00E13107">
        <w:rPr>
          <w:b/>
          <w:i/>
          <w:szCs w:val="24"/>
        </w:rPr>
        <w:tab/>
        <w:t>Unoccupied Office Space</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Following decision of </w:t>
      </w:r>
      <w:proofErr w:type="spellStart"/>
      <w:r>
        <w:rPr>
          <w:szCs w:val="24"/>
        </w:rPr>
        <w:t>MoFED</w:t>
      </w:r>
      <w:proofErr w:type="spellEnd"/>
      <w:r>
        <w:rPr>
          <w:szCs w:val="24"/>
        </w:rPr>
        <w:t xml:space="preserve"> to keep its offices in Port Louis, Levels 3, 4 and 5 of the SICOM Tower were handed over to the Ministry of Financial Services (</w:t>
      </w:r>
      <w:proofErr w:type="spellStart"/>
      <w:r>
        <w:rPr>
          <w:szCs w:val="24"/>
        </w:rPr>
        <w:t>MoFS</w:t>
      </w:r>
      <w:proofErr w:type="spellEnd"/>
      <w:r>
        <w:rPr>
          <w:szCs w:val="24"/>
        </w:rPr>
        <w:t xml:space="preserve">) on </w:t>
      </w:r>
      <w:r w:rsidR="00D67A2B">
        <w:rPr>
          <w:szCs w:val="24"/>
        </w:rPr>
        <w:br/>
      </w:r>
      <w:r>
        <w:rPr>
          <w:szCs w:val="24"/>
        </w:rPr>
        <w:t>30 May 2016</w:t>
      </w:r>
      <w:r>
        <w:rPr>
          <w:b/>
          <w:szCs w:val="24"/>
        </w:rPr>
        <w:t xml:space="preserve"> </w:t>
      </w:r>
      <w:r>
        <w:rPr>
          <w:szCs w:val="24"/>
        </w:rPr>
        <w:t xml:space="preserve">to accommodate the London Court of </w:t>
      </w:r>
      <w:r w:rsidR="00056F45">
        <w:rPr>
          <w:szCs w:val="24"/>
        </w:rPr>
        <w:t xml:space="preserve">International </w:t>
      </w:r>
      <w:r>
        <w:rPr>
          <w:szCs w:val="24"/>
        </w:rPr>
        <w:t>Arbitration</w:t>
      </w:r>
      <w:r w:rsidR="00790E1B">
        <w:rPr>
          <w:szCs w:val="24"/>
        </w:rPr>
        <w:t xml:space="preserve"> (LCIA)</w:t>
      </w:r>
      <w:r>
        <w:rPr>
          <w:szCs w:val="24"/>
        </w:rPr>
        <w:t xml:space="preserve">, the Mauritius International Court of Arbitration </w:t>
      </w:r>
      <w:r w:rsidR="00790E1B">
        <w:rPr>
          <w:szCs w:val="24"/>
        </w:rPr>
        <w:t xml:space="preserve">(MIAC) </w:t>
      </w:r>
      <w:r>
        <w:rPr>
          <w:szCs w:val="24"/>
        </w:rPr>
        <w:t>and the Permanent Court of Arbitration.</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More than nine months later, at end of February 2017, the three floors (Levels 3, 4 and 5) handed over to </w:t>
      </w:r>
      <w:proofErr w:type="spellStart"/>
      <w:r>
        <w:rPr>
          <w:szCs w:val="24"/>
        </w:rPr>
        <w:t>MoFS</w:t>
      </w:r>
      <w:proofErr w:type="spellEnd"/>
      <w:r>
        <w:rPr>
          <w:szCs w:val="24"/>
        </w:rPr>
        <w:t xml:space="preserve"> and for which rental were being paid by </w:t>
      </w:r>
      <w:proofErr w:type="spellStart"/>
      <w:r>
        <w:rPr>
          <w:szCs w:val="24"/>
        </w:rPr>
        <w:t>MoFED</w:t>
      </w:r>
      <w:proofErr w:type="spellEnd"/>
      <w:r>
        <w:rPr>
          <w:szCs w:val="24"/>
        </w:rPr>
        <w:t xml:space="preserve"> were still unoccupied.</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The unutilised Floors 4 and 5 were allocated to the Ministry of Communication, Technology and Innovation in March 2017 to house departments falling under its purview. Level 3 has, on the other hand, been earmarked for Metro Express Ltd and has remained unoccupied till June 2017. </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In the absence of clear indication as to when Metro Express Ltd would be operational, </w:t>
      </w:r>
      <w:proofErr w:type="spellStart"/>
      <w:r>
        <w:rPr>
          <w:szCs w:val="24"/>
        </w:rPr>
        <w:t>MoFED</w:t>
      </w:r>
      <w:proofErr w:type="spellEnd"/>
      <w:r>
        <w:rPr>
          <w:szCs w:val="24"/>
        </w:rPr>
        <w:t xml:space="preserve"> has allocated part of office space on Level 3 to the </w:t>
      </w:r>
      <w:proofErr w:type="spellStart"/>
      <w:r>
        <w:rPr>
          <w:szCs w:val="24"/>
        </w:rPr>
        <w:t>Britam</w:t>
      </w:r>
      <w:proofErr w:type="spellEnd"/>
      <w:r>
        <w:rPr>
          <w:szCs w:val="24"/>
        </w:rPr>
        <w:t xml:space="preserve"> Commission of Inquiry for a period of occupancy of six months with effect from 1 July 2017. Similarly, the Mauritius Multipurpose Infrastructure Ltd, incorporated by Government to administer the development of Multi-sports Complex Project to be used for the f</w:t>
      </w:r>
      <w:r w:rsidR="00056F45">
        <w:rPr>
          <w:szCs w:val="24"/>
        </w:rPr>
        <w:t>orthcoming Indian Ocean Island G</w:t>
      </w:r>
      <w:r>
        <w:rPr>
          <w:szCs w:val="24"/>
        </w:rPr>
        <w:t>ames has been offered a period of occupancy of one year on Level 3.</w:t>
      </w:r>
    </w:p>
    <w:p w:rsidR="00E13107" w:rsidRDefault="00E13107" w:rsidP="00E13107">
      <w:pPr>
        <w:spacing w:after="0" w:line="240" w:lineRule="auto"/>
        <w:jc w:val="both"/>
        <w:rPr>
          <w:i/>
          <w:szCs w:val="24"/>
        </w:rPr>
      </w:pPr>
    </w:p>
    <w:p w:rsidR="00E13107" w:rsidRDefault="00056F45" w:rsidP="00E13107">
      <w:pPr>
        <w:spacing w:after="0" w:line="240" w:lineRule="auto"/>
        <w:jc w:val="both"/>
        <w:rPr>
          <w:szCs w:val="24"/>
        </w:rPr>
      </w:pPr>
      <w:r>
        <w:rPr>
          <w:szCs w:val="24"/>
        </w:rPr>
        <w:t>Some Rs 17.4 million had</w:t>
      </w:r>
      <w:r w:rsidR="00E13107">
        <w:rPr>
          <w:szCs w:val="24"/>
        </w:rPr>
        <w:t xml:space="preserve"> been paid as rental up to June 2017 for the three unoccupied floors at the SICOM Tower since fit out works have been completed and keys handed over for periods ranging from 13 to 17 months. No value for money has been obtained for such expenditure.</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proofErr w:type="spellStart"/>
      <w:r>
        <w:rPr>
          <w:szCs w:val="24"/>
        </w:rPr>
        <w:t>MoFED</w:t>
      </w:r>
      <w:proofErr w:type="spellEnd"/>
      <w:r>
        <w:rPr>
          <w:szCs w:val="24"/>
        </w:rPr>
        <w:t>, being responsible for payment of monthly rental, should ensure that judicious use is being made of rented</w:t>
      </w:r>
      <w:r>
        <w:rPr>
          <w:color w:val="FF0000"/>
          <w:szCs w:val="24"/>
        </w:rPr>
        <w:t xml:space="preserve"> </w:t>
      </w:r>
      <w:r>
        <w:rPr>
          <w:szCs w:val="24"/>
        </w:rPr>
        <w:t>office space and proper allocation be made to Government bodies in need of office space.</w:t>
      </w:r>
    </w:p>
    <w:p w:rsidR="005C599C" w:rsidRDefault="005C599C">
      <w:pPr>
        <w:rPr>
          <w:b/>
          <w:szCs w:val="24"/>
        </w:rPr>
      </w:pPr>
      <w:r>
        <w:rPr>
          <w:b/>
          <w:szCs w:val="24"/>
        </w:rPr>
        <w:br w:type="page"/>
      </w:r>
    </w:p>
    <w:p w:rsidR="00E13107" w:rsidRDefault="00E13107" w:rsidP="00E13107">
      <w:pPr>
        <w:spacing w:after="0" w:line="240" w:lineRule="auto"/>
        <w:rPr>
          <w:b/>
          <w:i/>
          <w:szCs w:val="24"/>
        </w:rPr>
      </w:pPr>
      <w:r>
        <w:rPr>
          <w:b/>
          <w:i/>
          <w:szCs w:val="24"/>
        </w:rPr>
        <w:lastRenderedPageBreak/>
        <w:t>Ministry’s Reply</w:t>
      </w:r>
    </w:p>
    <w:p w:rsidR="00E13107" w:rsidRDefault="00E13107" w:rsidP="00E13107">
      <w:pPr>
        <w:spacing w:after="0" w:line="240" w:lineRule="auto"/>
        <w:rPr>
          <w:b/>
          <w:i/>
          <w:szCs w:val="24"/>
        </w:rPr>
      </w:pPr>
    </w:p>
    <w:p w:rsidR="00E13107" w:rsidRDefault="00E13107" w:rsidP="00E13107">
      <w:pPr>
        <w:tabs>
          <w:tab w:val="left" w:pos="2042"/>
        </w:tabs>
        <w:spacing w:after="0" w:line="240" w:lineRule="auto"/>
        <w:jc w:val="both"/>
        <w:rPr>
          <w:szCs w:val="24"/>
        </w:rPr>
      </w:pPr>
      <w:r>
        <w:rPr>
          <w:szCs w:val="24"/>
        </w:rPr>
        <w:t xml:space="preserve">Since SICOM Ltd had already handed over the floor to Government, there is a contractual obligation to pay rent whether occupied or not. </w:t>
      </w:r>
    </w:p>
    <w:p w:rsidR="00E13107" w:rsidRDefault="00E13107" w:rsidP="00E13107">
      <w:pPr>
        <w:tabs>
          <w:tab w:val="left" w:pos="2042"/>
        </w:tabs>
        <w:spacing w:after="0" w:line="240" w:lineRule="auto"/>
        <w:jc w:val="both"/>
        <w:rPr>
          <w:szCs w:val="24"/>
        </w:rPr>
      </w:pPr>
    </w:p>
    <w:p w:rsidR="00E13107" w:rsidRDefault="00E13107" w:rsidP="00E13107">
      <w:pPr>
        <w:spacing w:after="0" w:line="240" w:lineRule="auto"/>
        <w:jc w:val="both"/>
        <w:rPr>
          <w:szCs w:val="24"/>
        </w:rPr>
      </w:pPr>
      <w:r>
        <w:rPr>
          <w:szCs w:val="24"/>
        </w:rPr>
        <w:t xml:space="preserve">The fact that </w:t>
      </w:r>
      <w:proofErr w:type="spellStart"/>
      <w:r>
        <w:rPr>
          <w:szCs w:val="24"/>
        </w:rPr>
        <w:t>MoFED</w:t>
      </w:r>
      <w:proofErr w:type="spellEnd"/>
      <w:r>
        <w:rPr>
          <w:szCs w:val="24"/>
        </w:rPr>
        <w:t xml:space="preserve"> has not moved to SICOM Tower has caused some disruption, in so far as the office space has taken time to be re-allocated to Ministries in need of office space.</w:t>
      </w:r>
      <w:r w:rsidR="00D67A2B">
        <w:rPr>
          <w:szCs w:val="24"/>
        </w:rPr>
        <w:t xml:space="preserve"> </w:t>
      </w:r>
      <w:r>
        <w:rPr>
          <w:szCs w:val="24"/>
        </w:rPr>
        <w:t xml:space="preserve">The decision not to move to SICOM Tower was beyond the control of </w:t>
      </w:r>
      <w:proofErr w:type="spellStart"/>
      <w:r>
        <w:rPr>
          <w:szCs w:val="24"/>
        </w:rPr>
        <w:t>MoFED</w:t>
      </w:r>
      <w:proofErr w:type="spellEnd"/>
      <w:r>
        <w:rPr>
          <w:szCs w:val="24"/>
        </w:rPr>
        <w:t xml:space="preserve"> at that point in time</w:t>
      </w:r>
      <w:r w:rsidR="00790E1B">
        <w:rPr>
          <w:szCs w:val="24"/>
        </w:rPr>
        <w:t>.</w:t>
      </w:r>
    </w:p>
    <w:p w:rsidR="00790E1B" w:rsidRDefault="00790E1B" w:rsidP="00E13107">
      <w:pPr>
        <w:spacing w:after="0" w:line="240" w:lineRule="auto"/>
        <w:rPr>
          <w:b/>
          <w:szCs w:val="24"/>
        </w:rPr>
      </w:pPr>
    </w:p>
    <w:p w:rsidR="00790E1B" w:rsidRPr="00790E1B" w:rsidRDefault="00790E1B" w:rsidP="00790E1B">
      <w:pPr>
        <w:spacing w:after="0" w:line="240" w:lineRule="auto"/>
        <w:jc w:val="both"/>
        <w:rPr>
          <w:szCs w:val="24"/>
        </w:rPr>
      </w:pPr>
      <w:r>
        <w:rPr>
          <w:szCs w:val="24"/>
        </w:rPr>
        <w:t xml:space="preserve">Regarding Levels 3, 4 and 5, the </w:t>
      </w:r>
      <w:proofErr w:type="spellStart"/>
      <w:r>
        <w:rPr>
          <w:szCs w:val="24"/>
        </w:rPr>
        <w:t>MoFS</w:t>
      </w:r>
      <w:proofErr w:type="spellEnd"/>
      <w:r>
        <w:rPr>
          <w:szCs w:val="24"/>
        </w:rPr>
        <w:t xml:space="preserve"> has informed that several meetings/consultations were held by the Ministry with LCIA-MIAC for the establishment and operations of the Hearing Centre.</w:t>
      </w:r>
      <w:r w:rsidR="003C3E99">
        <w:rPr>
          <w:szCs w:val="24"/>
        </w:rPr>
        <w:t xml:space="preserve"> </w:t>
      </w:r>
      <w:r>
        <w:rPr>
          <w:szCs w:val="24"/>
        </w:rPr>
        <w:t>The design from the LCIA-MIAC was being awaited to decide on the area to be occupied.</w:t>
      </w:r>
    </w:p>
    <w:p w:rsidR="00790E1B" w:rsidRDefault="00790E1B" w:rsidP="00E13107">
      <w:pPr>
        <w:spacing w:after="0" w:line="240" w:lineRule="auto"/>
        <w:rPr>
          <w:b/>
          <w:szCs w:val="24"/>
        </w:rPr>
      </w:pPr>
    </w:p>
    <w:p w:rsidR="00E13107" w:rsidRDefault="00773750" w:rsidP="00E13107">
      <w:pPr>
        <w:spacing w:after="0" w:line="240" w:lineRule="auto"/>
        <w:jc w:val="both"/>
        <w:rPr>
          <w:b/>
          <w:szCs w:val="24"/>
        </w:rPr>
      </w:pPr>
      <w:r>
        <w:rPr>
          <w:b/>
          <w:i/>
          <w:szCs w:val="24"/>
        </w:rPr>
        <w:t>6.</w:t>
      </w:r>
      <w:r w:rsidR="00E13107">
        <w:rPr>
          <w:b/>
          <w:i/>
          <w:szCs w:val="24"/>
        </w:rPr>
        <w:t>1.3</w:t>
      </w:r>
      <w:r w:rsidR="00E13107">
        <w:rPr>
          <w:b/>
          <w:i/>
          <w:szCs w:val="24"/>
        </w:rPr>
        <w:tab/>
        <w:t xml:space="preserve">Claims for Fit </w:t>
      </w:r>
      <w:proofErr w:type="gramStart"/>
      <w:r w:rsidR="00E13107">
        <w:rPr>
          <w:b/>
          <w:i/>
          <w:szCs w:val="24"/>
        </w:rPr>
        <w:t>Out</w:t>
      </w:r>
      <w:proofErr w:type="gramEnd"/>
      <w:r w:rsidR="00E13107">
        <w:rPr>
          <w:b/>
          <w:i/>
          <w:szCs w:val="24"/>
        </w:rPr>
        <w:t xml:space="preserve"> Works</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For its scheduled relocation to Ebene, </w:t>
      </w:r>
      <w:proofErr w:type="spellStart"/>
      <w:r>
        <w:rPr>
          <w:szCs w:val="24"/>
        </w:rPr>
        <w:t>MoFED</w:t>
      </w:r>
      <w:proofErr w:type="spellEnd"/>
      <w:r>
        <w:rPr>
          <w:szCs w:val="24"/>
        </w:rPr>
        <w:t xml:space="preserve"> requested SICOM Ltd to carry out certain fit out and other additional works. Claims </w:t>
      </w:r>
      <w:proofErr w:type="spellStart"/>
      <w:r>
        <w:rPr>
          <w:szCs w:val="24"/>
        </w:rPr>
        <w:t>totalling</w:t>
      </w:r>
      <w:proofErr w:type="spellEnd"/>
      <w:r>
        <w:rPr>
          <w:szCs w:val="24"/>
        </w:rPr>
        <w:t xml:space="preserve"> Rs 29,214,832 in respect of works undertaken for </w:t>
      </w:r>
      <w:proofErr w:type="spellStart"/>
      <w:r>
        <w:rPr>
          <w:szCs w:val="24"/>
        </w:rPr>
        <w:t>MoFED</w:t>
      </w:r>
      <w:proofErr w:type="spellEnd"/>
      <w:r>
        <w:rPr>
          <w:szCs w:val="24"/>
        </w:rPr>
        <w:t xml:space="preserve"> were submitted by SICOM Ltd.</w:t>
      </w:r>
    </w:p>
    <w:p w:rsidR="00E13107" w:rsidRDefault="00E13107" w:rsidP="00E13107">
      <w:pPr>
        <w:spacing w:after="0" w:line="240" w:lineRule="auto"/>
        <w:jc w:val="both"/>
        <w:rPr>
          <w:szCs w:val="24"/>
        </w:rPr>
      </w:pPr>
    </w:p>
    <w:p w:rsidR="00E13107" w:rsidRDefault="00E13107" w:rsidP="00E13107">
      <w:pPr>
        <w:spacing w:after="0" w:line="240" w:lineRule="auto"/>
        <w:jc w:val="both"/>
        <w:rPr>
          <w:szCs w:val="24"/>
        </w:rPr>
      </w:pPr>
      <w:r>
        <w:rPr>
          <w:szCs w:val="24"/>
        </w:rPr>
        <w:t xml:space="preserve">As no provision for this expenditure was made in the previous year’s Estimates, a part payment of only Rs 9,947,021 was effected during that year. An additional amount of </w:t>
      </w:r>
      <w:r w:rsidR="00AC7AA2">
        <w:rPr>
          <w:szCs w:val="24"/>
        </w:rPr>
        <w:br/>
      </w:r>
      <w:r>
        <w:rPr>
          <w:szCs w:val="24"/>
        </w:rPr>
        <w:t>Rs 10,827,201, representing claims certified by Ministry of Public Infrastructure (MPI) was paid to SICOM Ltd in April 2017.</w:t>
      </w:r>
    </w:p>
    <w:p w:rsidR="00E13107" w:rsidRDefault="00E13107" w:rsidP="00E13107">
      <w:pPr>
        <w:spacing w:after="0" w:line="240" w:lineRule="auto"/>
        <w:rPr>
          <w:szCs w:val="24"/>
        </w:rPr>
      </w:pPr>
    </w:p>
    <w:p w:rsidR="00E13107" w:rsidRDefault="00E13107" w:rsidP="00E13107">
      <w:pPr>
        <w:spacing w:after="0" w:line="240" w:lineRule="auto"/>
        <w:jc w:val="both"/>
        <w:rPr>
          <w:szCs w:val="24"/>
        </w:rPr>
      </w:pPr>
      <w:r>
        <w:rPr>
          <w:szCs w:val="24"/>
        </w:rPr>
        <w:t>As of Oct</w:t>
      </w:r>
      <w:r w:rsidR="00056F45">
        <w:rPr>
          <w:szCs w:val="24"/>
        </w:rPr>
        <w:t>ober 2017, a sum of Rs 8,440,611</w:t>
      </w:r>
      <w:r>
        <w:rPr>
          <w:szCs w:val="24"/>
        </w:rPr>
        <w:t xml:space="preserve"> was still outstanding in respect of fit out works and other additional works requested by </w:t>
      </w:r>
      <w:proofErr w:type="spellStart"/>
      <w:r>
        <w:rPr>
          <w:szCs w:val="24"/>
        </w:rPr>
        <w:t>MoFED</w:t>
      </w:r>
      <w:proofErr w:type="spellEnd"/>
      <w:r>
        <w:rPr>
          <w:szCs w:val="24"/>
        </w:rPr>
        <w:t xml:space="preserve"> at SICOM Tower, as shown in the Table </w:t>
      </w:r>
      <w:r w:rsidR="00773750">
        <w:rPr>
          <w:szCs w:val="24"/>
        </w:rPr>
        <w:t>6-</w:t>
      </w:r>
      <w:r w:rsidR="003B37AE">
        <w:rPr>
          <w:szCs w:val="24"/>
        </w:rPr>
        <w:t>2</w:t>
      </w:r>
      <w:r w:rsidR="00D67A2B">
        <w:rPr>
          <w:szCs w:val="24"/>
        </w:rPr>
        <w:t>.</w:t>
      </w:r>
    </w:p>
    <w:p w:rsidR="00E13107" w:rsidRDefault="00E13107" w:rsidP="00E13107">
      <w:pPr>
        <w:spacing w:after="0" w:line="240" w:lineRule="auto"/>
        <w:rPr>
          <w:szCs w:val="24"/>
        </w:rPr>
      </w:pPr>
    </w:p>
    <w:p w:rsidR="00E13107" w:rsidRDefault="00E13107" w:rsidP="00E13107">
      <w:pPr>
        <w:spacing w:after="0" w:line="240" w:lineRule="auto"/>
        <w:jc w:val="center"/>
        <w:rPr>
          <w:i/>
          <w:szCs w:val="24"/>
        </w:rPr>
      </w:pPr>
      <w:r>
        <w:rPr>
          <w:i/>
          <w:szCs w:val="24"/>
        </w:rPr>
        <w:t xml:space="preserve">Table </w:t>
      </w:r>
      <w:bookmarkStart w:id="1" w:name="_Hlk507249376"/>
      <w:r w:rsidR="00773750">
        <w:rPr>
          <w:i/>
          <w:szCs w:val="24"/>
        </w:rPr>
        <w:t>6-</w:t>
      </w:r>
      <w:proofErr w:type="gramStart"/>
      <w:r w:rsidR="003B37AE">
        <w:rPr>
          <w:i/>
          <w:szCs w:val="24"/>
        </w:rPr>
        <w:t>2</w:t>
      </w:r>
      <w:r w:rsidR="00D67A2B">
        <w:rPr>
          <w:i/>
          <w:szCs w:val="24"/>
        </w:rPr>
        <w:t xml:space="preserve"> </w:t>
      </w:r>
      <w:r>
        <w:rPr>
          <w:i/>
          <w:szCs w:val="24"/>
        </w:rPr>
        <w:t xml:space="preserve"> Outstanding</w:t>
      </w:r>
      <w:proofErr w:type="gramEnd"/>
      <w:r>
        <w:rPr>
          <w:i/>
          <w:szCs w:val="24"/>
        </w:rPr>
        <w:t xml:space="preserve"> Amount in respect of Fit Out Works and Other Additional Works</w:t>
      </w:r>
      <w:bookmarkEnd w:id="1"/>
    </w:p>
    <w:p w:rsidR="00E13107" w:rsidRDefault="00E13107" w:rsidP="00E13107">
      <w:pPr>
        <w:spacing w:after="0" w:line="240" w:lineRule="auto"/>
        <w:rPr>
          <w:szCs w:val="24"/>
        </w:rPr>
      </w:pPr>
    </w:p>
    <w:p w:rsidR="00D67A2B" w:rsidRDefault="00D67A2B" w:rsidP="00D67A2B">
      <w:pPr>
        <w:pBdr>
          <w:top w:val="single" w:sz="4" w:space="1" w:color="auto"/>
        </w:pBdr>
        <w:spacing w:after="0" w:line="240" w:lineRule="auto"/>
        <w:rPr>
          <w:szCs w:val="24"/>
        </w:rPr>
      </w:pPr>
    </w:p>
    <w:tbl>
      <w:tblPr>
        <w:tblW w:w="7492" w:type="dxa"/>
        <w:jc w:val="center"/>
        <w:tblLook w:val="04A0" w:firstRow="1" w:lastRow="0" w:firstColumn="1" w:lastColumn="0" w:noHBand="0" w:noVBand="1"/>
      </w:tblPr>
      <w:tblGrid>
        <w:gridCol w:w="5726"/>
        <w:gridCol w:w="1766"/>
      </w:tblGrid>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 </w:t>
            </w:r>
          </w:p>
        </w:tc>
        <w:tc>
          <w:tcPr>
            <w:tcW w:w="1766" w:type="dxa"/>
            <w:noWrap/>
            <w:tcMar>
              <w:bottom w:w="142" w:type="dxa"/>
            </w:tcMar>
            <w:vAlign w:val="bottom"/>
            <w:hideMark/>
          </w:tcPr>
          <w:p w:rsidR="00E13107" w:rsidRDefault="00E13107">
            <w:pPr>
              <w:spacing w:after="0" w:line="240" w:lineRule="auto"/>
              <w:jc w:val="center"/>
              <w:rPr>
                <w:rFonts w:eastAsia="Times New Roman"/>
                <w:b/>
                <w:bCs/>
                <w:color w:val="000000"/>
                <w:szCs w:val="24"/>
              </w:rPr>
            </w:pPr>
            <w:r>
              <w:rPr>
                <w:rFonts w:eastAsia="Times New Roman"/>
                <w:b/>
                <w:bCs/>
                <w:color w:val="000000"/>
                <w:szCs w:val="24"/>
              </w:rPr>
              <w:t>Rs</w:t>
            </w:r>
          </w:p>
        </w:tc>
      </w:tr>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Professional and Development Fees</w:t>
            </w:r>
          </w:p>
        </w:tc>
        <w:tc>
          <w:tcPr>
            <w:tcW w:w="1766" w:type="dxa"/>
            <w:noWrap/>
            <w:tcMar>
              <w:bottom w:w="142" w:type="dxa"/>
            </w:tcMar>
            <w:vAlign w:val="bottom"/>
            <w:hideMark/>
          </w:tcPr>
          <w:p w:rsidR="00E13107" w:rsidRDefault="00E13107">
            <w:pPr>
              <w:spacing w:after="0" w:line="240" w:lineRule="auto"/>
              <w:ind w:right="308"/>
              <w:jc w:val="right"/>
              <w:rPr>
                <w:rFonts w:eastAsia="Times New Roman"/>
                <w:color w:val="000000"/>
                <w:szCs w:val="24"/>
              </w:rPr>
            </w:pPr>
            <w:r>
              <w:rPr>
                <w:rFonts w:eastAsia="Times New Roman"/>
                <w:color w:val="000000"/>
                <w:szCs w:val="24"/>
              </w:rPr>
              <w:t>1,181,049</w:t>
            </w:r>
          </w:p>
        </w:tc>
      </w:tr>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Interior Design Fees</w:t>
            </w:r>
          </w:p>
        </w:tc>
        <w:tc>
          <w:tcPr>
            <w:tcW w:w="1766" w:type="dxa"/>
            <w:noWrap/>
            <w:tcMar>
              <w:bottom w:w="142" w:type="dxa"/>
            </w:tcMar>
            <w:vAlign w:val="bottom"/>
            <w:hideMark/>
          </w:tcPr>
          <w:p w:rsidR="00E13107" w:rsidRDefault="00E13107">
            <w:pPr>
              <w:spacing w:after="0" w:line="240" w:lineRule="auto"/>
              <w:ind w:right="308"/>
              <w:jc w:val="right"/>
              <w:rPr>
                <w:rFonts w:eastAsia="Times New Roman"/>
                <w:color w:val="000000"/>
                <w:szCs w:val="24"/>
              </w:rPr>
            </w:pPr>
            <w:r>
              <w:rPr>
                <w:rFonts w:eastAsia="Times New Roman"/>
                <w:color w:val="000000"/>
                <w:szCs w:val="24"/>
              </w:rPr>
              <w:t>2,164,198</w:t>
            </w:r>
          </w:p>
        </w:tc>
      </w:tr>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 xml:space="preserve">Works requested by </w:t>
            </w:r>
            <w:proofErr w:type="spellStart"/>
            <w:r>
              <w:rPr>
                <w:rFonts w:eastAsia="Times New Roman"/>
                <w:color w:val="000000"/>
                <w:szCs w:val="24"/>
              </w:rPr>
              <w:t>MoFED</w:t>
            </w:r>
            <w:proofErr w:type="spellEnd"/>
            <w:r>
              <w:rPr>
                <w:rFonts w:eastAsia="Times New Roman"/>
                <w:color w:val="000000"/>
                <w:szCs w:val="24"/>
              </w:rPr>
              <w:t xml:space="preserve"> and not approved by MPI</w:t>
            </w:r>
          </w:p>
        </w:tc>
        <w:tc>
          <w:tcPr>
            <w:tcW w:w="1766" w:type="dxa"/>
            <w:noWrap/>
            <w:tcMar>
              <w:bottom w:w="142" w:type="dxa"/>
            </w:tcMar>
            <w:vAlign w:val="bottom"/>
            <w:hideMark/>
          </w:tcPr>
          <w:p w:rsidR="00E13107" w:rsidRDefault="00E13107">
            <w:pPr>
              <w:spacing w:after="0" w:line="240" w:lineRule="auto"/>
              <w:ind w:right="308"/>
              <w:jc w:val="right"/>
              <w:rPr>
                <w:rFonts w:eastAsia="Times New Roman"/>
                <w:color w:val="000000"/>
                <w:szCs w:val="24"/>
              </w:rPr>
            </w:pPr>
            <w:r>
              <w:rPr>
                <w:rFonts w:eastAsia="Times New Roman"/>
                <w:color w:val="000000"/>
                <w:szCs w:val="24"/>
              </w:rPr>
              <w:t>2,490,927</w:t>
            </w:r>
          </w:p>
        </w:tc>
      </w:tr>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Electrical Works</w:t>
            </w:r>
          </w:p>
        </w:tc>
        <w:tc>
          <w:tcPr>
            <w:tcW w:w="1766" w:type="dxa"/>
            <w:noWrap/>
            <w:tcMar>
              <w:bottom w:w="142" w:type="dxa"/>
            </w:tcMar>
            <w:vAlign w:val="bottom"/>
            <w:hideMark/>
          </w:tcPr>
          <w:p w:rsidR="00E13107" w:rsidRDefault="00E13107">
            <w:pPr>
              <w:spacing w:after="0" w:line="240" w:lineRule="auto"/>
              <w:ind w:right="308"/>
              <w:jc w:val="right"/>
              <w:rPr>
                <w:rFonts w:eastAsia="Times New Roman"/>
                <w:color w:val="000000"/>
                <w:szCs w:val="24"/>
              </w:rPr>
            </w:pPr>
            <w:r>
              <w:rPr>
                <w:rFonts w:eastAsia="Times New Roman"/>
                <w:color w:val="000000"/>
                <w:szCs w:val="24"/>
              </w:rPr>
              <w:t>1,917,865</w:t>
            </w:r>
          </w:p>
        </w:tc>
      </w:tr>
      <w:tr w:rsidR="00E13107" w:rsidTr="00D54927">
        <w:trPr>
          <w:trHeight w:val="20"/>
          <w:jc w:val="center"/>
        </w:trPr>
        <w:tc>
          <w:tcPr>
            <w:tcW w:w="5726" w:type="dxa"/>
            <w:noWrap/>
            <w:tcMar>
              <w:bottom w:w="142" w:type="dxa"/>
            </w:tcMar>
            <w:vAlign w:val="bottom"/>
            <w:hideMark/>
          </w:tcPr>
          <w:p w:rsidR="00E13107" w:rsidRDefault="00E13107">
            <w:pPr>
              <w:spacing w:after="0" w:line="240" w:lineRule="auto"/>
              <w:rPr>
                <w:rFonts w:eastAsia="Times New Roman"/>
                <w:color w:val="000000"/>
                <w:szCs w:val="24"/>
              </w:rPr>
            </w:pPr>
            <w:r>
              <w:rPr>
                <w:rFonts w:eastAsia="Times New Roman"/>
                <w:color w:val="000000"/>
                <w:szCs w:val="24"/>
              </w:rPr>
              <w:t>Sliding and Folding Partitioning</w:t>
            </w:r>
          </w:p>
        </w:tc>
        <w:tc>
          <w:tcPr>
            <w:tcW w:w="1766" w:type="dxa"/>
            <w:noWrap/>
            <w:tcMar>
              <w:bottom w:w="142" w:type="dxa"/>
            </w:tcMar>
            <w:vAlign w:val="bottom"/>
            <w:hideMark/>
          </w:tcPr>
          <w:p w:rsidR="00E13107" w:rsidRDefault="00E13107">
            <w:pPr>
              <w:spacing w:after="0" w:line="240" w:lineRule="auto"/>
              <w:ind w:right="308"/>
              <w:jc w:val="right"/>
              <w:rPr>
                <w:rFonts w:eastAsia="Times New Roman"/>
                <w:color w:val="000000"/>
                <w:szCs w:val="24"/>
              </w:rPr>
            </w:pPr>
            <w:r>
              <w:rPr>
                <w:rFonts w:eastAsia="Times New Roman"/>
                <w:color w:val="000000"/>
                <w:szCs w:val="24"/>
              </w:rPr>
              <w:t>686,572</w:t>
            </w:r>
          </w:p>
        </w:tc>
      </w:tr>
      <w:tr w:rsidR="00E13107" w:rsidTr="00D54927">
        <w:trPr>
          <w:trHeight w:val="20"/>
          <w:jc w:val="center"/>
        </w:trPr>
        <w:tc>
          <w:tcPr>
            <w:tcW w:w="5726" w:type="dxa"/>
            <w:noWrap/>
            <w:vAlign w:val="bottom"/>
            <w:hideMark/>
          </w:tcPr>
          <w:p w:rsidR="00E13107" w:rsidRDefault="00E13107">
            <w:pPr>
              <w:spacing w:after="0" w:line="240" w:lineRule="auto"/>
              <w:rPr>
                <w:rFonts w:eastAsia="Times New Roman"/>
                <w:b/>
                <w:color w:val="000000"/>
                <w:szCs w:val="24"/>
              </w:rPr>
            </w:pPr>
            <w:r>
              <w:rPr>
                <w:rFonts w:eastAsia="Times New Roman"/>
                <w:color w:val="000000"/>
                <w:szCs w:val="24"/>
              </w:rPr>
              <w:t> </w:t>
            </w:r>
            <w:r>
              <w:rPr>
                <w:rFonts w:eastAsia="Times New Roman"/>
                <w:b/>
                <w:color w:val="000000"/>
                <w:szCs w:val="24"/>
              </w:rPr>
              <w:t>Total</w:t>
            </w:r>
          </w:p>
        </w:tc>
        <w:tc>
          <w:tcPr>
            <w:tcW w:w="1766" w:type="dxa"/>
            <w:noWrap/>
            <w:vAlign w:val="bottom"/>
            <w:hideMark/>
          </w:tcPr>
          <w:p w:rsidR="00E13107" w:rsidRDefault="00E13107">
            <w:pPr>
              <w:spacing w:after="0" w:line="240" w:lineRule="auto"/>
              <w:ind w:right="308"/>
              <w:jc w:val="right"/>
              <w:rPr>
                <w:rFonts w:eastAsia="Times New Roman"/>
                <w:b/>
                <w:bCs/>
                <w:color w:val="000000"/>
                <w:szCs w:val="24"/>
              </w:rPr>
            </w:pPr>
            <w:r>
              <w:rPr>
                <w:rFonts w:eastAsia="Times New Roman"/>
                <w:b/>
                <w:bCs/>
                <w:color w:val="000000"/>
                <w:szCs w:val="24"/>
              </w:rPr>
              <w:t xml:space="preserve">8,440,611 </w:t>
            </w:r>
          </w:p>
        </w:tc>
      </w:tr>
    </w:tbl>
    <w:p w:rsidR="00E13107" w:rsidRDefault="00E13107" w:rsidP="00D67A2B">
      <w:pPr>
        <w:pBdr>
          <w:bottom w:val="single" w:sz="4" w:space="1" w:color="auto"/>
        </w:pBdr>
        <w:spacing w:after="0" w:line="240" w:lineRule="auto"/>
        <w:rPr>
          <w:szCs w:val="24"/>
        </w:rPr>
      </w:pPr>
    </w:p>
    <w:p w:rsidR="00E13107" w:rsidRPr="00056F45" w:rsidRDefault="00056F45" w:rsidP="00E13107">
      <w:pPr>
        <w:spacing w:after="0" w:line="240" w:lineRule="auto"/>
        <w:rPr>
          <w:i/>
          <w:sz w:val="20"/>
          <w:szCs w:val="20"/>
        </w:rPr>
      </w:pPr>
      <w:r w:rsidRPr="00056F45">
        <w:rPr>
          <w:i/>
          <w:sz w:val="20"/>
          <w:szCs w:val="20"/>
        </w:rPr>
        <w:t>Source: Ministry’s records</w:t>
      </w:r>
    </w:p>
    <w:p w:rsidR="00056F45" w:rsidRDefault="00056F45" w:rsidP="00E13107">
      <w:pPr>
        <w:spacing w:after="0" w:line="240" w:lineRule="auto"/>
        <w:rPr>
          <w:szCs w:val="24"/>
        </w:rPr>
      </w:pPr>
    </w:p>
    <w:p w:rsidR="00E13107" w:rsidRDefault="00E13107" w:rsidP="00E13107">
      <w:pPr>
        <w:pStyle w:val="ListParagraph"/>
        <w:numPr>
          <w:ilvl w:val="0"/>
          <w:numId w:val="1"/>
        </w:numPr>
        <w:spacing w:after="0" w:line="240" w:lineRule="auto"/>
        <w:ind w:left="426" w:hanging="426"/>
        <w:jc w:val="both"/>
        <w:rPr>
          <w:szCs w:val="24"/>
        </w:rPr>
      </w:pPr>
      <w:r>
        <w:rPr>
          <w:szCs w:val="24"/>
        </w:rPr>
        <w:t>As far as the Professional and Development Fees were concerned, MP</w:t>
      </w:r>
      <w:r w:rsidR="00056F45">
        <w:rPr>
          <w:szCs w:val="24"/>
        </w:rPr>
        <w:t>I had already informed that it was</w:t>
      </w:r>
      <w:r>
        <w:rPr>
          <w:szCs w:val="24"/>
        </w:rPr>
        <w:t xml:space="preserve"> not in a position to assess same;</w:t>
      </w:r>
    </w:p>
    <w:p w:rsidR="00E13107" w:rsidRDefault="00E13107" w:rsidP="00E13107">
      <w:pPr>
        <w:pStyle w:val="ListParagraph"/>
        <w:spacing w:after="0" w:line="240" w:lineRule="auto"/>
        <w:ind w:left="426" w:hanging="426"/>
        <w:jc w:val="both"/>
        <w:rPr>
          <w:szCs w:val="24"/>
        </w:rPr>
      </w:pPr>
    </w:p>
    <w:p w:rsidR="00E13107" w:rsidRDefault="00E13107" w:rsidP="00E13107">
      <w:pPr>
        <w:pStyle w:val="ListParagraph"/>
        <w:numPr>
          <w:ilvl w:val="0"/>
          <w:numId w:val="1"/>
        </w:numPr>
        <w:spacing w:after="0" w:line="240" w:lineRule="auto"/>
        <w:ind w:left="426" w:hanging="426"/>
        <w:jc w:val="both"/>
        <w:rPr>
          <w:szCs w:val="24"/>
        </w:rPr>
      </w:pPr>
      <w:r>
        <w:rPr>
          <w:szCs w:val="24"/>
        </w:rPr>
        <w:lastRenderedPageBreak/>
        <w:t xml:space="preserve">The Interior Design Fees were in respect of works requested by </w:t>
      </w:r>
      <w:proofErr w:type="spellStart"/>
      <w:r>
        <w:rPr>
          <w:szCs w:val="24"/>
        </w:rPr>
        <w:t>MoFED</w:t>
      </w:r>
      <w:proofErr w:type="spellEnd"/>
      <w:r>
        <w:rPr>
          <w:szCs w:val="24"/>
        </w:rPr>
        <w:t xml:space="preserve"> and were not approved by MPI;</w:t>
      </w:r>
    </w:p>
    <w:p w:rsidR="00056F45" w:rsidRPr="00056F45" w:rsidRDefault="00056F45" w:rsidP="00056F45">
      <w:pPr>
        <w:spacing w:after="0" w:line="240" w:lineRule="auto"/>
        <w:jc w:val="both"/>
        <w:rPr>
          <w:szCs w:val="24"/>
        </w:rPr>
      </w:pPr>
    </w:p>
    <w:p w:rsidR="00E13107" w:rsidRDefault="00E13107" w:rsidP="00E13107">
      <w:pPr>
        <w:pStyle w:val="ListParagraph"/>
        <w:numPr>
          <w:ilvl w:val="0"/>
          <w:numId w:val="1"/>
        </w:numPr>
        <w:spacing w:after="0" w:line="240" w:lineRule="auto"/>
        <w:ind w:left="426" w:hanging="426"/>
        <w:jc w:val="both"/>
        <w:rPr>
          <w:szCs w:val="24"/>
        </w:rPr>
      </w:pPr>
      <w:r>
        <w:rPr>
          <w:szCs w:val="24"/>
        </w:rPr>
        <w:t>In respect of Electrical Works, the Energy Services Division could not proceed with the assessment as some documents were missing. The drawings submitted by SICOM Ltd for electrical works were tailor-made instead of contractual -</w:t>
      </w:r>
      <w:r w:rsidR="00D67A2B">
        <w:rPr>
          <w:szCs w:val="24"/>
        </w:rPr>
        <w:t xml:space="preserve"> </w:t>
      </w:r>
      <w:r>
        <w:rPr>
          <w:szCs w:val="24"/>
        </w:rPr>
        <w:t xml:space="preserve">they were above standard requirements since they were requested by </w:t>
      </w:r>
      <w:proofErr w:type="spellStart"/>
      <w:r>
        <w:rPr>
          <w:szCs w:val="24"/>
        </w:rPr>
        <w:t>MoFED</w:t>
      </w:r>
      <w:proofErr w:type="spellEnd"/>
      <w:r>
        <w:rPr>
          <w:szCs w:val="24"/>
        </w:rPr>
        <w:t xml:space="preserve"> to accommodate offices of the Minister and senior officers;</w:t>
      </w:r>
    </w:p>
    <w:p w:rsidR="00E13107" w:rsidRDefault="00E13107" w:rsidP="00E13107">
      <w:pPr>
        <w:pStyle w:val="ListParagraph"/>
        <w:spacing w:after="0" w:line="240" w:lineRule="auto"/>
        <w:ind w:left="426" w:hanging="426"/>
        <w:jc w:val="both"/>
        <w:rPr>
          <w:szCs w:val="24"/>
        </w:rPr>
      </w:pPr>
    </w:p>
    <w:p w:rsidR="00D67A2B" w:rsidRDefault="00E13107" w:rsidP="00BA5C02">
      <w:pPr>
        <w:pStyle w:val="ListParagraph"/>
        <w:numPr>
          <w:ilvl w:val="0"/>
          <w:numId w:val="1"/>
        </w:numPr>
        <w:spacing w:after="0" w:line="240" w:lineRule="auto"/>
        <w:ind w:left="426" w:hanging="426"/>
        <w:jc w:val="both"/>
        <w:rPr>
          <w:szCs w:val="24"/>
        </w:rPr>
      </w:pPr>
      <w:r>
        <w:rPr>
          <w:szCs w:val="24"/>
        </w:rPr>
        <w:t xml:space="preserve">The Sliding and Folding Partitioning was requested by </w:t>
      </w:r>
      <w:proofErr w:type="spellStart"/>
      <w:r>
        <w:rPr>
          <w:szCs w:val="24"/>
        </w:rPr>
        <w:t>MoFED</w:t>
      </w:r>
      <w:proofErr w:type="spellEnd"/>
      <w:r>
        <w:rPr>
          <w:szCs w:val="24"/>
        </w:rPr>
        <w:t xml:space="preserve"> to be installed in Conference Rooms on three floors and had already been procured by SICOM Ltd, but were still in the custody of the Contractor appointed by SICOM</w:t>
      </w:r>
      <w:r w:rsidR="00056F45">
        <w:rPr>
          <w:szCs w:val="24"/>
        </w:rPr>
        <w:t xml:space="preserve"> Ltd</w:t>
      </w:r>
      <w:r>
        <w:rPr>
          <w:szCs w:val="24"/>
        </w:rPr>
        <w:t xml:space="preserve"> as they were no longer required.</w:t>
      </w:r>
    </w:p>
    <w:p w:rsidR="00E13107" w:rsidRPr="00D67A2B" w:rsidRDefault="00E13107" w:rsidP="00BA5C02">
      <w:pPr>
        <w:spacing w:after="0" w:line="240" w:lineRule="auto"/>
        <w:rPr>
          <w:szCs w:val="24"/>
        </w:rPr>
      </w:pPr>
    </w:p>
    <w:p w:rsidR="00E13107" w:rsidRDefault="00E13107" w:rsidP="00BA5C02">
      <w:pPr>
        <w:autoSpaceDE w:val="0"/>
        <w:autoSpaceDN w:val="0"/>
        <w:adjustRightInd w:val="0"/>
        <w:spacing w:after="0" w:line="240" w:lineRule="auto"/>
        <w:jc w:val="both"/>
        <w:rPr>
          <w:rFonts w:eastAsia="Times New Roman"/>
          <w:b/>
          <w:i/>
          <w:szCs w:val="24"/>
        </w:rPr>
      </w:pPr>
      <w:r>
        <w:rPr>
          <w:rFonts w:eastAsia="Times New Roman"/>
          <w:b/>
          <w:i/>
          <w:szCs w:val="24"/>
        </w:rPr>
        <w:t>Ministry’s Reply</w:t>
      </w:r>
    </w:p>
    <w:p w:rsidR="00E13107" w:rsidRDefault="00E13107" w:rsidP="00E13107">
      <w:pPr>
        <w:autoSpaceDE w:val="0"/>
        <w:autoSpaceDN w:val="0"/>
        <w:adjustRightInd w:val="0"/>
        <w:spacing w:after="0" w:line="240" w:lineRule="auto"/>
        <w:jc w:val="both"/>
        <w:rPr>
          <w:rFonts w:eastAsia="Times New Roman"/>
          <w:b/>
          <w:i/>
          <w:szCs w:val="24"/>
        </w:rPr>
      </w:pPr>
    </w:p>
    <w:p w:rsidR="00790E1B" w:rsidRDefault="00E13107" w:rsidP="00E13107">
      <w:pPr>
        <w:spacing w:after="0" w:line="240" w:lineRule="auto"/>
        <w:jc w:val="both"/>
        <w:rPr>
          <w:szCs w:val="24"/>
        </w:rPr>
      </w:pPr>
      <w:r>
        <w:rPr>
          <w:szCs w:val="24"/>
        </w:rPr>
        <w:t xml:space="preserve">The claims </w:t>
      </w:r>
      <w:r>
        <w:rPr>
          <w:rFonts w:eastAsia="Times New Roman"/>
          <w:color w:val="000000"/>
          <w:szCs w:val="24"/>
        </w:rPr>
        <w:t>previously not</w:t>
      </w:r>
      <w:r>
        <w:rPr>
          <w:szCs w:val="24"/>
        </w:rPr>
        <w:t xml:space="preserve"> assessed by the MPI have been submitted anew to the latter</w:t>
      </w:r>
      <w:r w:rsidR="00056F45">
        <w:rPr>
          <w:szCs w:val="24"/>
        </w:rPr>
        <w:t>.</w:t>
      </w:r>
      <w:r>
        <w:rPr>
          <w:szCs w:val="24"/>
        </w:rPr>
        <w:t xml:space="preserve"> However, should the claims not be certified by MPI again, </w:t>
      </w:r>
      <w:proofErr w:type="spellStart"/>
      <w:r>
        <w:rPr>
          <w:szCs w:val="24"/>
        </w:rPr>
        <w:t>MoFED</w:t>
      </w:r>
      <w:proofErr w:type="spellEnd"/>
      <w:r>
        <w:rPr>
          <w:szCs w:val="24"/>
        </w:rPr>
        <w:t xml:space="preserve"> will have no other alternative than to discuss and come to an agreement with SICOM Ltd prior to settling the </w:t>
      </w:r>
      <w:proofErr w:type="gramStart"/>
      <w:r>
        <w:rPr>
          <w:szCs w:val="24"/>
        </w:rPr>
        <w:t>claims.</w:t>
      </w:r>
      <w:proofErr w:type="gramEnd"/>
      <w:r>
        <w:rPr>
          <w:szCs w:val="24"/>
        </w:rPr>
        <w:t xml:space="preserve"> </w:t>
      </w:r>
      <w:r w:rsidR="00790E1B">
        <w:rPr>
          <w:szCs w:val="24"/>
        </w:rPr>
        <w:t>The MPI has been contacted and they have verbally informed that the file is presently on the process and a written reply will be made available.</w:t>
      </w:r>
    </w:p>
    <w:p w:rsidR="00C65BB6" w:rsidRDefault="00C65BB6" w:rsidP="003B37AE">
      <w:pPr>
        <w:spacing w:after="0" w:line="240" w:lineRule="auto"/>
        <w:rPr>
          <w:szCs w:val="24"/>
        </w:rPr>
      </w:pPr>
    </w:p>
    <w:p w:rsidR="00BA5C02" w:rsidRDefault="00BA5C02" w:rsidP="003B37AE">
      <w:pPr>
        <w:spacing w:after="0" w:line="240" w:lineRule="auto"/>
        <w:rPr>
          <w:szCs w:val="24"/>
        </w:rPr>
      </w:pPr>
    </w:p>
    <w:p w:rsidR="00E13107" w:rsidRDefault="00BA5C02" w:rsidP="00E13107">
      <w:pPr>
        <w:autoSpaceDE w:val="0"/>
        <w:autoSpaceDN w:val="0"/>
        <w:adjustRightInd w:val="0"/>
        <w:spacing w:after="0" w:line="240" w:lineRule="auto"/>
        <w:jc w:val="both"/>
        <w:rPr>
          <w:rFonts w:eastAsia="Times New Roman"/>
          <w:b/>
          <w:szCs w:val="24"/>
        </w:rPr>
      </w:pPr>
      <w:r>
        <w:rPr>
          <w:rFonts w:eastAsia="Times New Roman"/>
          <w:b/>
          <w:szCs w:val="24"/>
        </w:rPr>
        <w:t>6.2</w:t>
      </w:r>
      <w:r w:rsidR="00E13107">
        <w:rPr>
          <w:rFonts w:eastAsia="Times New Roman"/>
          <w:b/>
          <w:szCs w:val="24"/>
        </w:rPr>
        <w:tab/>
        <w:t xml:space="preserve">Advance Account – </w:t>
      </w:r>
      <w:proofErr w:type="spellStart"/>
      <w:r w:rsidR="00E13107">
        <w:rPr>
          <w:rFonts w:eastAsia="Times New Roman"/>
          <w:b/>
          <w:szCs w:val="24"/>
        </w:rPr>
        <w:t>MauBank</w:t>
      </w:r>
      <w:proofErr w:type="spellEnd"/>
      <w:r w:rsidR="00E13107">
        <w:rPr>
          <w:rFonts w:eastAsia="Times New Roman"/>
          <w:b/>
          <w:szCs w:val="24"/>
        </w:rPr>
        <w:t xml:space="preserve"> Holdings</w:t>
      </w:r>
    </w:p>
    <w:p w:rsidR="00E13107" w:rsidRDefault="00E13107" w:rsidP="00E13107">
      <w:pPr>
        <w:tabs>
          <w:tab w:val="left" w:pos="540"/>
        </w:tabs>
        <w:spacing w:after="0" w:line="240" w:lineRule="auto"/>
        <w:jc w:val="both"/>
        <w:rPr>
          <w:b/>
          <w:szCs w:val="24"/>
        </w:rPr>
      </w:pPr>
    </w:p>
    <w:p w:rsidR="00E13107" w:rsidRDefault="00056F45" w:rsidP="00E13107">
      <w:pPr>
        <w:tabs>
          <w:tab w:val="left" w:pos="540"/>
        </w:tabs>
        <w:spacing w:after="0" w:line="240" w:lineRule="auto"/>
        <w:jc w:val="both"/>
        <w:rPr>
          <w:szCs w:val="24"/>
        </w:rPr>
      </w:pPr>
      <w:r>
        <w:rPr>
          <w:szCs w:val="24"/>
        </w:rPr>
        <w:t>At paragraph 7.2.1 of the</w:t>
      </w:r>
      <w:r w:rsidR="00E13107">
        <w:rPr>
          <w:szCs w:val="24"/>
        </w:rPr>
        <w:t xml:space="preserve"> Audit Report for the period 1 January 2015 to 30 June 2016, </w:t>
      </w:r>
      <w:r w:rsidR="006D14DB">
        <w:rPr>
          <w:szCs w:val="24"/>
        </w:rPr>
        <w:br/>
      </w:r>
      <w:r w:rsidR="00E13107">
        <w:rPr>
          <w:szCs w:val="24"/>
        </w:rPr>
        <w:t xml:space="preserve">I mentioned that in September 2016, an amount of Rs 6 million was injected in </w:t>
      </w:r>
      <w:proofErr w:type="spellStart"/>
      <w:r w:rsidR="00E13107">
        <w:rPr>
          <w:szCs w:val="24"/>
        </w:rPr>
        <w:t>MauBank</w:t>
      </w:r>
      <w:proofErr w:type="spellEnd"/>
      <w:r w:rsidR="00E13107">
        <w:rPr>
          <w:szCs w:val="24"/>
        </w:rPr>
        <w:t xml:space="preserve"> Holdings Ltd as equity to enable the Company to meet its operating expenses. Since no provision was made for this purpose in the Budget Estimates 2016-17, funds were reallocated from Vote “Contingencies and Reserves” to Item “Shares and Equity Participation - </w:t>
      </w:r>
      <w:proofErr w:type="spellStart"/>
      <w:r w:rsidR="00E13107">
        <w:rPr>
          <w:szCs w:val="24"/>
        </w:rPr>
        <w:t>MauBank</w:t>
      </w:r>
      <w:proofErr w:type="spellEnd"/>
      <w:r w:rsidR="00E13107">
        <w:rPr>
          <w:szCs w:val="24"/>
        </w:rPr>
        <w:t xml:space="preserve"> Holdings Ltd”, and the sum charged to this Item. </w:t>
      </w:r>
    </w:p>
    <w:p w:rsidR="00056F45" w:rsidRDefault="00056F45" w:rsidP="00E13107">
      <w:pPr>
        <w:tabs>
          <w:tab w:val="left" w:pos="540"/>
        </w:tabs>
        <w:spacing w:after="0" w:line="240" w:lineRule="auto"/>
        <w:jc w:val="both"/>
        <w:rPr>
          <w:szCs w:val="24"/>
        </w:rPr>
      </w:pPr>
    </w:p>
    <w:p w:rsidR="00E13107" w:rsidRDefault="00E13107" w:rsidP="00E13107">
      <w:pPr>
        <w:tabs>
          <w:tab w:val="left" w:pos="540"/>
        </w:tabs>
        <w:spacing w:after="0" w:line="240" w:lineRule="auto"/>
        <w:jc w:val="both"/>
        <w:rPr>
          <w:szCs w:val="24"/>
        </w:rPr>
      </w:pPr>
      <w:r>
        <w:rPr>
          <w:szCs w:val="24"/>
        </w:rPr>
        <w:t xml:space="preserve">Similarly, in November 2017, </w:t>
      </w:r>
      <w:proofErr w:type="spellStart"/>
      <w:r>
        <w:rPr>
          <w:szCs w:val="24"/>
        </w:rPr>
        <w:t>MauBank</w:t>
      </w:r>
      <w:proofErr w:type="spellEnd"/>
      <w:r>
        <w:rPr>
          <w:szCs w:val="24"/>
        </w:rPr>
        <w:t xml:space="preserve"> Holdings Ltd requested an additional amount of Rs 3 million to meet its operating expenses for the period November 2017 to January 2018. On 28 November 2017, same was provided to the Company by way of Advance to the Consolidated Fund. It was agreed that this amount would be cleared by the Company upon generation of income from its investments.</w:t>
      </w:r>
    </w:p>
    <w:p w:rsidR="00E13107" w:rsidRDefault="00E13107" w:rsidP="00E13107">
      <w:pPr>
        <w:autoSpaceDE w:val="0"/>
        <w:autoSpaceDN w:val="0"/>
        <w:adjustRightInd w:val="0"/>
        <w:spacing w:after="0" w:line="240" w:lineRule="auto"/>
        <w:jc w:val="both"/>
        <w:rPr>
          <w:rFonts w:eastAsia="Times New Roman"/>
          <w:szCs w:val="24"/>
        </w:rPr>
      </w:pPr>
    </w:p>
    <w:p w:rsidR="00FB3F41" w:rsidRDefault="00FB3F41">
      <w:r>
        <w:br w:type="page"/>
      </w:r>
    </w:p>
    <w:p w:rsidR="00FB3F41" w:rsidRPr="00B06B3C" w:rsidRDefault="00FB3F41" w:rsidP="00FB3F41">
      <w:pPr>
        <w:autoSpaceDE w:val="0"/>
        <w:autoSpaceDN w:val="0"/>
        <w:adjustRightInd w:val="0"/>
        <w:spacing w:after="0" w:line="240" w:lineRule="auto"/>
        <w:jc w:val="both"/>
        <w:rPr>
          <w:rFonts w:eastAsia="Times New Roman"/>
          <w:b/>
          <w:sz w:val="32"/>
          <w:szCs w:val="32"/>
          <w:bdr w:val="none" w:sz="0" w:space="0" w:color="auto" w:frame="1"/>
        </w:rPr>
      </w:pPr>
      <w:r w:rsidRPr="00B06B3C">
        <w:rPr>
          <w:rFonts w:eastAsia="Times New Roman"/>
          <w:b/>
          <w:sz w:val="32"/>
          <w:szCs w:val="32"/>
          <w:bdr w:val="none" w:sz="0" w:space="0" w:color="auto" w:frame="1"/>
        </w:rPr>
        <w:lastRenderedPageBreak/>
        <w:t>Mauritius Revenue Authority</w:t>
      </w:r>
    </w:p>
    <w:p w:rsidR="00FB3F41" w:rsidRDefault="00FB3F41" w:rsidP="00FB3F41">
      <w:pPr>
        <w:autoSpaceDE w:val="0"/>
        <w:autoSpaceDN w:val="0"/>
        <w:adjustRightInd w:val="0"/>
        <w:spacing w:after="0" w:line="240" w:lineRule="auto"/>
        <w:jc w:val="both"/>
        <w:rPr>
          <w:rFonts w:eastAsia="Times New Roman"/>
          <w:b/>
          <w:szCs w:val="24"/>
          <w:bdr w:val="none" w:sz="0" w:space="0" w:color="auto" w:frame="1"/>
        </w:rPr>
      </w:pPr>
      <w:bookmarkStart w:id="2" w:name="mra"/>
      <w:bookmarkEnd w:id="2"/>
    </w:p>
    <w:p w:rsidR="00FB3F41" w:rsidRPr="00832A5A" w:rsidRDefault="00BA5C02" w:rsidP="00FB3F41">
      <w:pPr>
        <w:autoSpaceDE w:val="0"/>
        <w:autoSpaceDN w:val="0"/>
        <w:adjustRightInd w:val="0"/>
        <w:spacing w:after="0" w:line="240" w:lineRule="auto"/>
        <w:jc w:val="both"/>
        <w:rPr>
          <w:color w:val="000000"/>
          <w:szCs w:val="24"/>
        </w:rPr>
      </w:pPr>
      <w:r>
        <w:rPr>
          <w:rFonts w:eastAsia="Times New Roman"/>
          <w:b/>
          <w:szCs w:val="24"/>
          <w:bdr w:val="none" w:sz="0" w:space="0" w:color="auto" w:frame="1"/>
        </w:rPr>
        <w:t>6.3</w:t>
      </w:r>
      <w:r w:rsidR="00FB3F41">
        <w:rPr>
          <w:rFonts w:eastAsia="Times New Roman"/>
          <w:b/>
          <w:szCs w:val="24"/>
          <w:bdr w:val="none" w:sz="0" w:space="0" w:color="auto" w:frame="1"/>
        </w:rPr>
        <w:tab/>
      </w:r>
      <w:r w:rsidR="00FB3F41" w:rsidRPr="00832A5A">
        <w:rPr>
          <w:b/>
          <w:color w:val="000000"/>
          <w:szCs w:val="24"/>
        </w:rPr>
        <w:t>Revenue Collection</w:t>
      </w:r>
    </w:p>
    <w:p w:rsidR="00FB3F41" w:rsidRDefault="00FB3F41" w:rsidP="00FB3F41">
      <w:pPr>
        <w:autoSpaceDE w:val="0"/>
        <w:autoSpaceDN w:val="0"/>
        <w:adjustRightInd w:val="0"/>
        <w:spacing w:after="0" w:line="240" w:lineRule="auto"/>
        <w:jc w:val="both"/>
        <w:rPr>
          <w:color w:val="000000"/>
          <w:szCs w:val="24"/>
        </w:rPr>
      </w:pPr>
    </w:p>
    <w:p w:rsidR="00870E58" w:rsidRPr="00870E58" w:rsidRDefault="00870E58" w:rsidP="00870E58">
      <w:pPr>
        <w:autoSpaceDE w:val="0"/>
        <w:autoSpaceDN w:val="0"/>
        <w:adjustRightInd w:val="0"/>
        <w:spacing w:after="0" w:line="240" w:lineRule="auto"/>
        <w:jc w:val="both"/>
        <w:rPr>
          <w:rFonts w:eastAsia="HelveticaNeueLT Std"/>
          <w:color w:val="000000"/>
          <w:szCs w:val="24"/>
        </w:rPr>
      </w:pPr>
      <w:r w:rsidRPr="00870E58">
        <w:rPr>
          <w:rFonts w:eastAsia="HelveticaNeueLT Std"/>
          <w:color w:val="000000"/>
          <w:szCs w:val="24"/>
        </w:rPr>
        <w:t xml:space="preserve">Revenue collected by the Mauritius Revenue Authority (MRA) (excluding Customs and Excise) during 2016-17 </w:t>
      </w:r>
      <w:proofErr w:type="spellStart"/>
      <w:r w:rsidRPr="00870E58">
        <w:rPr>
          <w:rFonts w:eastAsia="HelveticaNeueLT Std"/>
          <w:color w:val="000000"/>
          <w:szCs w:val="24"/>
        </w:rPr>
        <w:t>totalled</w:t>
      </w:r>
      <w:proofErr w:type="spellEnd"/>
      <w:r w:rsidRPr="00870E58">
        <w:rPr>
          <w:rFonts w:eastAsia="HelveticaNeueLT Std"/>
          <w:color w:val="000000"/>
          <w:szCs w:val="24"/>
        </w:rPr>
        <w:t xml:space="preserve"> </w:t>
      </w:r>
      <w:r w:rsidRPr="00870E58">
        <w:rPr>
          <w:rFonts w:eastAsia="HelveticaNeueLT Std"/>
          <w:szCs w:val="24"/>
        </w:rPr>
        <w:t>Rs 57.2 billion</w:t>
      </w:r>
      <w:r w:rsidRPr="00870E58">
        <w:rPr>
          <w:rFonts w:eastAsia="HelveticaNeueLT Std"/>
          <w:color w:val="000000"/>
          <w:szCs w:val="24"/>
        </w:rPr>
        <w:t xml:space="preserve">, that is an increase of </w:t>
      </w:r>
      <w:r w:rsidRPr="00870E58">
        <w:rPr>
          <w:rFonts w:eastAsia="HelveticaNeueLT Std"/>
          <w:szCs w:val="24"/>
        </w:rPr>
        <w:t xml:space="preserve">8.5 per cent </w:t>
      </w:r>
      <w:r w:rsidRPr="00870E58">
        <w:rPr>
          <w:rFonts w:eastAsia="HelveticaNeueLT Std"/>
          <w:color w:val="000000"/>
          <w:szCs w:val="24"/>
        </w:rPr>
        <w:t xml:space="preserve">over that of 2015-16. The MRA had also been able to meet its revised budgetary estimates of Rs </w:t>
      </w:r>
      <w:r w:rsidRPr="00870E58">
        <w:rPr>
          <w:rFonts w:eastAsia="Times New Roman"/>
          <w:szCs w:val="24"/>
          <w:lang w:eastAsia="en-GB"/>
        </w:rPr>
        <w:t>56.9 billion</w:t>
      </w:r>
      <w:r w:rsidRPr="00870E58">
        <w:rPr>
          <w:rFonts w:eastAsia="HelveticaNeueLT Std"/>
          <w:color w:val="000000"/>
          <w:szCs w:val="24"/>
        </w:rPr>
        <w:t>.</w:t>
      </w:r>
      <w:r w:rsidR="003C3E99">
        <w:rPr>
          <w:rFonts w:eastAsia="HelveticaNeueLT Std"/>
          <w:color w:val="000000"/>
          <w:szCs w:val="24"/>
        </w:rPr>
        <w:t xml:space="preserve"> </w:t>
      </w:r>
      <w:r w:rsidRPr="00870E58">
        <w:rPr>
          <w:rFonts w:eastAsia="HelveticaNeueLT Std"/>
          <w:color w:val="000000"/>
          <w:szCs w:val="24"/>
        </w:rPr>
        <w:t xml:space="preserve">Tax revenue from Value Added Tax (VAT) and Income Tax (Individuals, </w:t>
      </w:r>
      <w:r w:rsidRPr="00870E58">
        <w:rPr>
          <w:rFonts w:eastAsia="Times New Roman"/>
          <w:szCs w:val="24"/>
          <w:lang w:eastAsia="en-GB"/>
        </w:rPr>
        <w:t xml:space="preserve">Companies and Body Corporates) </w:t>
      </w:r>
      <w:proofErr w:type="spellStart"/>
      <w:r w:rsidRPr="00870E58">
        <w:rPr>
          <w:rFonts w:eastAsia="Times New Roman"/>
          <w:szCs w:val="24"/>
          <w:lang w:eastAsia="en-GB"/>
        </w:rPr>
        <w:t>totalling</w:t>
      </w:r>
      <w:proofErr w:type="spellEnd"/>
      <w:r w:rsidRPr="00870E58">
        <w:rPr>
          <w:rFonts w:eastAsia="Times New Roman"/>
          <w:szCs w:val="24"/>
          <w:lang w:eastAsia="en-GB"/>
        </w:rPr>
        <w:t xml:space="preserve"> Rs 50.7 billion represents 88.8 per cent of total collection of Rs 57.2 billion.</w:t>
      </w:r>
      <w:r w:rsidR="003C3E99">
        <w:rPr>
          <w:rFonts w:eastAsia="Times New Roman"/>
          <w:szCs w:val="24"/>
          <w:lang w:eastAsia="en-GB"/>
        </w:rPr>
        <w:t xml:space="preserve"> </w:t>
      </w:r>
      <w:r w:rsidRPr="00870E58">
        <w:rPr>
          <w:rFonts w:eastAsia="HelveticaNeueLT Std"/>
          <w:color w:val="000000"/>
          <w:szCs w:val="24"/>
        </w:rPr>
        <w:t xml:space="preserve">Details are as shown in Table </w:t>
      </w:r>
      <w:r>
        <w:rPr>
          <w:rFonts w:eastAsia="HelveticaNeueLT Std"/>
          <w:color w:val="000000"/>
          <w:szCs w:val="24"/>
        </w:rPr>
        <w:t>6-3</w:t>
      </w:r>
      <w:r w:rsidRPr="00870E58">
        <w:rPr>
          <w:rFonts w:eastAsia="HelveticaNeueLT Std"/>
          <w:color w:val="000000"/>
          <w:szCs w:val="24"/>
        </w:rPr>
        <w:t>.</w:t>
      </w:r>
    </w:p>
    <w:p w:rsidR="00870E58" w:rsidRPr="00870E58" w:rsidRDefault="00870E58" w:rsidP="00870E58">
      <w:pPr>
        <w:autoSpaceDE w:val="0"/>
        <w:autoSpaceDN w:val="0"/>
        <w:adjustRightInd w:val="0"/>
        <w:spacing w:after="0" w:line="240" w:lineRule="auto"/>
        <w:jc w:val="both"/>
        <w:rPr>
          <w:rFonts w:eastAsia="HelveticaNeueLT Std"/>
          <w:color w:val="000000"/>
          <w:szCs w:val="24"/>
        </w:rPr>
      </w:pPr>
    </w:p>
    <w:p w:rsidR="00870E58" w:rsidRDefault="00870E58" w:rsidP="00870E58">
      <w:pPr>
        <w:autoSpaceDE w:val="0"/>
        <w:autoSpaceDN w:val="0"/>
        <w:adjustRightInd w:val="0"/>
        <w:spacing w:after="0" w:line="240" w:lineRule="auto"/>
        <w:jc w:val="center"/>
        <w:rPr>
          <w:rFonts w:eastAsia="HelveticaNeueLT Std"/>
          <w:i/>
          <w:color w:val="000000"/>
          <w:szCs w:val="24"/>
        </w:rPr>
      </w:pPr>
      <w:r>
        <w:rPr>
          <w:rFonts w:eastAsia="HelveticaNeueLT Std"/>
          <w:i/>
          <w:color w:val="000000"/>
          <w:szCs w:val="24"/>
        </w:rPr>
        <w:t xml:space="preserve">Table </w:t>
      </w:r>
      <w:bookmarkStart w:id="3" w:name="_Hlk507249395"/>
      <w:r>
        <w:rPr>
          <w:rFonts w:eastAsia="HelveticaNeueLT Std"/>
          <w:i/>
          <w:color w:val="000000"/>
          <w:szCs w:val="24"/>
        </w:rPr>
        <w:t>6-</w:t>
      </w:r>
      <w:proofErr w:type="gramStart"/>
      <w:r>
        <w:rPr>
          <w:rFonts w:eastAsia="HelveticaNeueLT Std"/>
          <w:i/>
          <w:color w:val="000000"/>
          <w:szCs w:val="24"/>
        </w:rPr>
        <w:t>3</w:t>
      </w:r>
      <w:r w:rsidRPr="00870E58">
        <w:rPr>
          <w:rFonts w:eastAsia="HelveticaNeueLT Std"/>
          <w:i/>
          <w:color w:val="000000"/>
          <w:szCs w:val="24"/>
        </w:rPr>
        <w:t xml:space="preserve">  MRA</w:t>
      </w:r>
      <w:proofErr w:type="gramEnd"/>
      <w:r w:rsidR="003C3E99">
        <w:rPr>
          <w:rFonts w:eastAsia="HelveticaNeueLT Std"/>
          <w:i/>
          <w:color w:val="000000"/>
          <w:szCs w:val="24"/>
        </w:rPr>
        <w:t xml:space="preserve"> </w:t>
      </w:r>
      <w:r w:rsidRPr="00870E58">
        <w:rPr>
          <w:rFonts w:eastAsia="HelveticaNeueLT Std"/>
          <w:i/>
          <w:color w:val="000000"/>
          <w:szCs w:val="24"/>
        </w:rPr>
        <w:t>-</w:t>
      </w:r>
      <w:r w:rsidR="003C3E99">
        <w:rPr>
          <w:rFonts w:eastAsia="HelveticaNeueLT Std"/>
          <w:i/>
          <w:color w:val="000000"/>
          <w:szCs w:val="24"/>
        </w:rPr>
        <w:t xml:space="preserve"> </w:t>
      </w:r>
      <w:r w:rsidRPr="00870E58">
        <w:rPr>
          <w:rFonts w:eastAsia="HelveticaNeueLT Std"/>
          <w:i/>
          <w:color w:val="000000"/>
          <w:szCs w:val="24"/>
        </w:rPr>
        <w:t>Revenue Collection</w:t>
      </w:r>
      <w:bookmarkEnd w:id="3"/>
    </w:p>
    <w:p w:rsidR="00870E58" w:rsidRDefault="00870E58" w:rsidP="00870E58">
      <w:pPr>
        <w:autoSpaceDE w:val="0"/>
        <w:autoSpaceDN w:val="0"/>
        <w:adjustRightInd w:val="0"/>
        <w:spacing w:after="0" w:line="240" w:lineRule="auto"/>
        <w:jc w:val="center"/>
        <w:rPr>
          <w:rFonts w:eastAsia="HelveticaNeueLT Std"/>
          <w:i/>
          <w:color w:val="000000"/>
          <w:szCs w:val="24"/>
        </w:rPr>
      </w:pPr>
    </w:p>
    <w:p w:rsidR="00870E58" w:rsidRPr="00870E58" w:rsidRDefault="00870E58" w:rsidP="00870E58">
      <w:pPr>
        <w:pBdr>
          <w:top w:val="single" w:sz="4" w:space="1" w:color="auto"/>
        </w:pBdr>
        <w:autoSpaceDE w:val="0"/>
        <w:autoSpaceDN w:val="0"/>
        <w:adjustRightInd w:val="0"/>
        <w:spacing w:after="0" w:line="240" w:lineRule="auto"/>
        <w:jc w:val="center"/>
        <w:rPr>
          <w:rFonts w:eastAsia="HelveticaNeueLT Std"/>
          <w:i/>
          <w:color w:val="000000"/>
          <w:szCs w:val="24"/>
        </w:rPr>
      </w:pPr>
    </w:p>
    <w:tbl>
      <w:tblPr>
        <w:tblW w:w="8789" w:type="dxa"/>
        <w:jc w:val="center"/>
        <w:tblLayout w:type="fixed"/>
        <w:tblLook w:val="04A0" w:firstRow="1" w:lastRow="0" w:firstColumn="1" w:lastColumn="0" w:noHBand="0" w:noVBand="1"/>
      </w:tblPr>
      <w:tblGrid>
        <w:gridCol w:w="2041"/>
        <w:gridCol w:w="1714"/>
        <w:gridCol w:w="1818"/>
        <w:gridCol w:w="1957"/>
        <w:gridCol w:w="1259"/>
      </w:tblGrid>
      <w:tr w:rsidR="00870E58" w:rsidRPr="00870E58" w:rsidTr="00151572">
        <w:trPr>
          <w:trHeight w:val="360"/>
          <w:jc w:val="center"/>
        </w:trPr>
        <w:tc>
          <w:tcPr>
            <w:tcW w:w="2041" w:type="dxa"/>
            <w:vMerge w:val="restart"/>
            <w:shd w:val="clear" w:color="auto" w:fill="auto"/>
            <w:vAlign w:val="center"/>
            <w:hideMark/>
          </w:tcPr>
          <w:p w:rsidR="00870E58" w:rsidRPr="00870E58" w:rsidRDefault="00870E58" w:rsidP="00151572">
            <w:pPr>
              <w:spacing w:before="60" w:after="60" w:line="240" w:lineRule="auto"/>
              <w:rPr>
                <w:rFonts w:eastAsia="Times New Roman"/>
                <w:b/>
                <w:bCs/>
                <w:sz w:val="22"/>
                <w:lang w:eastAsia="en-GB"/>
              </w:rPr>
            </w:pPr>
            <w:r w:rsidRPr="00870E58">
              <w:rPr>
                <w:rFonts w:eastAsia="Times New Roman"/>
                <w:b/>
                <w:bCs/>
                <w:sz w:val="22"/>
                <w:lang w:eastAsia="en-GB"/>
              </w:rPr>
              <w:t>Taxes</w:t>
            </w:r>
          </w:p>
        </w:tc>
        <w:tc>
          <w:tcPr>
            <w:tcW w:w="1714"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Actual</w:t>
            </w:r>
          </w:p>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Collection</w:t>
            </w:r>
          </w:p>
        </w:tc>
        <w:tc>
          <w:tcPr>
            <w:tcW w:w="1818"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Revised Estimates</w:t>
            </w:r>
          </w:p>
        </w:tc>
        <w:tc>
          <w:tcPr>
            <w:tcW w:w="1957"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Actual</w:t>
            </w:r>
          </w:p>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Collection</w:t>
            </w:r>
          </w:p>
        </w:tc>
        <w:tc>
          <w:tcPr>
            <w:tcW w:w="1259" w:type="dxa"/>
            <w:vMerge w:val="restart"/>
            <w:shd w:val="clear" w:color="auto" w:fill="auto"/>
            <w:noWrap/>
          </w:tcPr>
          <w:p w:rsidR="00151572" w:rsidRDefault="00151572" w:rsidP="00151572">
            <w:pPr>
              <w:spacing w:before="60" w:after="60" w:line="240" w:lineRule="auto"/>
              <w:jc w:val="center"/>
              <w:rPr>
                <w:rFonts w:eastAsia="Times New Roman"/>
                <w:b/>
                <w:bCs/>
                <w:sz w:val="22"/>
                <w:lang w:eastAsia="en-GB"/>
              </w:rPr>
            </w:pPr>
            <w:r>
              <w:rPr>
                <w:rFonts w:eastAsia="Times New Roman"/>
                <w:b/>
                <w:bCs/>
                <w:sz w:val="22"/>
                <w:lang w:eastAsia="en-GB"/>
              </w:rPr>
              <w:t>Actual</w:t>
            </w:r>
          </w:p>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Collection</w:t>
            </w:r>
          </w:p>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Increase (Decrease)</w:t>
            </w:r>
          </w:p>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w:t>
            </w:r>
          </w:p>
        </w:tc>
      </w:tr>
      <w:tr w:rsidR="00870E58" w:rsidRPr="00870E58" w:rsidTr="00151572">
        <w:trPr>
          <w:trHeight w:val="360"/>
          <w:jc w:val="center"/>
        </w:trPr>
        <w:tc>
          <w:tcPr>
            <w:tcW w:w="2041" w:type="dxa"/>
            <w:vMerge/>
            <w:vAlign w:val="center"/>
            <w:hideMark/>
          </w:tcPr>
          <w:p w:rsidR="00870E58" w:rsidRPr="00870E58" w:rsidRDefault="00870E58" w:rsidP="00151572">
            <w:pPr>
              <w:spacing w:before="60" w:after="60" w:line="240" w:lineRule="auto"/>
              <w:jc w:val="center"/>
              <w:rPr>
                <w:rFonts w:eastAsia="Times New Roman"/>
                <w:b/>
                <w:bCs/>
                <w:sz w:val="22"/>
                <w:lang w:eastAsia="en-GB"/>
              </w:rPr>
            </w:pPr>
          </w:p>
        </w:tc>
        <w:tc>
          <w:tcPr>
            <w:tcW w:w="1714" w:type="dxa"/>
            <w:vAlign w:val="center"/>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2015-16</w:t>
            </w:r>
          </w:p>
        </w:tc>
        <w:tc>
          <w:tcPr>
            <w:tcW w:w="1818" w:type="dxa"/>
            <w:vAlign w:val="center"/>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2016-17</w:t>
            </w:r>
          </w:p>
        </w:tc>
        <w:tc>
          <w:tcPr>
            <w:tcW w:w="1957" w:type="dxa"/>
            <w:vAlign w:val="center"/>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2016-17</w:t>
            </w:r>
          </w:p>
        </w:tc>
        <w:tc>
          <w:tcPr>
            <w:tcW w:w="1259" w:type="dxa"/>
            <w:vMerge/>
            <w:shd w:val="clear" w:color="auto" w:fill="auto"/>
            <w:noWrap/>
          </w:tcPr>
          <w:p w:rsidR="00870E58" w:rsidRPr="00870E58" w:rsidRDefault="00870E58" w:rsidP="00151572">
            <w:pPr>
              <w:spacing w:before="60" w:after="60" w:line="240" w:lineRule="auto"/>
              <w:jc w:val="center"/>
              <w:rPr>
                <w:rFonts w:eastAsia="Times New Roman"/>
                <w:b/>
                <w:bCs/>
                <w:sz w:val="22"/>
                <w:lang w:eastAsia="en-GB"/>
              </w:rPr>
            </w:pPr>
          </w:p>
        </w:tc>
      </w:tr>
      <w:tr w:rsidR="00870E58" w:rsidRPr="00870E58" w:rsidTr="00151572">
        <w:trPr>
          <w:trHeight w:val="360"/>
          <w:jc w:val="center"/>
        </w:trPr>
        <w:tc>
          <w:tcPr>
            <w:tcW w:w="2041" w:type="dxa"/>
            <w:vMerge/>
            <w:vAlign w:val="center"/>
            <w:hideMark/>
          </w:tcPr>
          <w:p w:rsidR="00870E58" w:rsidRPr="00870E58" w:rsidRDefault="00870E58" w:rsidP="00151572">
            <w:pPr>
              <w:spacing w:before="60" w:after="60" w:line="240" w:lineRule="auto"/>
              <w:jc w:val="center"/>
              <w:rPr>
                <w:rFonts w:eastAsia="Times New Roman"/>
                <w:b/>
                <w:bCs/>
                <w:sz w:val="22"/>
                <w:lang w:eastAsia="en-GB"/>
              </w:rPr>
            </w:pPr>
          </w:p>
        </w:tc>
        <w:tc>
          <w:tcPr>
            <w:tcW w:w="1714"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Rs</w:t>
            </w:r>
          </w:p>
        </w:tc>
        <w:tc>
          <w:tcPr>
            <w:tcW w:w="1818"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Rs</w:t>
            </w:r>
          </w:p>
        </w:tc>
        <w:tc>
          <w:tcPr>
            <w:tcW w:w="1957" w:type="dxa"/>
          </w:tcPr>
          <w:p w:rsidR="00870E58" w:rsidRPr="00870E58" w:rsidRDefault="00870E58" w:rsidP="00151572">
            <w:pPr>
              <w:spacing w:before="60" w:after="60" w:line="240" w:lineRule="auto"/>
              <w:jc w:val="center"/>
              <w:rPr>
                <w:rFonts w:eastAsia="Times New Roman"/>
                <w:b/>
                <w:bCs/>
                <w:sz w:val="22"/>
                <w:lang w:eastAsia="en-GB"/>
              </w:rPr>
            </w:pPr>
            <w:r w:rsidRPr="00870E58">
              <w:rPr>
                <w:rFonts w:eastAsia="Times New Roman"/>
                <w:b/>
                <w:bCs/>
                <w:sz w:val="22"/>
                <w:lang w:eastAsia="en-GB"/>
              </w:rPr>
              <w:t>Rs</w:t>
            </w:r>
          </w:p>
        </w:tc>
        <w:tc>
          <w:tcPr>
            <w:tcW w:w="1259" w:type="dxa"/>
            <w:shd w:val="clear" w:color="auto" w:fill="auto"/>
            <w:noWrap/>
          </w:tcPr>
          <w:p w:rsidR="00870E58" w:rsidRPr="00870E58" w:rsidRDefault="00870E58" w:rsidP="00151572">
            <w:pPr>
              <w:spacing w:before="60" w:after="60" w:line="240" w:lineRule="auto"/>
              <w:jc w:val="center"/>
              <w:rPr>
                <w:rFonts w:eastAsia="Times New Roman"/>
                <w:b/>
                <w:bCs/>
                <w:sz w:val="22"/>
                <w:lang w:eastAsia="en-GB"/>
              </w:rPr>
            </w:pP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Income Tax - Individuals</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7,620,773,556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8,670,000,000</w:t>
            </w:r>
          </w:p>
        </w:tc>
        <w:tc>
          <w:tcPr>
            <w:tcW w:w="1957" w:type="dxa"/>
            <w:vAlign w:val="bottom"/>
          </w:tcPr>
          <w:p w:rsidR="00870E58" w:rsidRPr="00870E58" w:rsidRDefault="00870E58" w:rsidP="00151572">
            <w:pPr>
              <w:spacing w:before="60" w:after="60" w:line="240" w:lineRule="auto"/>
              <w:ind w:right="117"/>
              <w:jc w:val="right"/>
              <w:rPr>
                <w:color w:val="000000"/>
                <w:sz w:val="22"/>
                <w:lang w:val="en-GB"/>
              </w:rPr>
            </w:pPr>
            <w:r w:rsidRPr="00870E58">
              <w:rPr>
                <w:color w:val="000000"/>
                <w:sz w:val="22"/>
                <w:lang w:val="en-GB"/>
              </w:rPr>
              <w:t>8,661,474,933</w:t>
            </w:r>
          </w:p>
        </w:tc>
        <w:tc>
          <w:tcPr>
            <w:tcW w:w="1259" w:type="dxa"/>
            <w:shd w:val="clear" w:color="auto" w:fill="auto"/>
            <w:noWrap/>
            <w:vAlign w:val="center"/>
          </w:tcPr>
          <w:p w:rsidR="00870E58" w:rsidRPr="00870E58" w:rsidRDefault="00870E58" w:rsidP="00151572">
            <w:pPr>
              <w:spacing w:before="60" w:after="60" w:line="240" w:lineRule="auto"/>
              <w:ind w:right="222"/>
              <w:jc w:val="right"/>
              <w:rPr>
                <w:color w:val="000000"/>
                <w:sz w:val="22"/>
                <w:lang w:val="en-GB"/>
              </w:rPr>
            </w:pPr>
            <w:r w:rsidRPr="00870E58">
              <w:rPr>
                <w:color w:val="000000"/>
                <w:sz w:val="22"/>
              </w:rPr>
              <w:t>13.66</w:t>
            </w:r>
          </w:p>
        </w:tc>
      </w:tr>
      <w:tr w:rsidR="00870E58" w:rsidRPr="00870E58" w:rsidTr="00151572">
        <w:trPr>
          <w:trHeight w:val="360"/>
          <w:jc w:val="center"/>
        </w:trPr>
        <w:tc>
          <w:tcPr>
            <w:tcW w:w="2041" w:type="dxa"/>
            <w:shd w:val="clear" w:color="auto" w:fill="auto"/>
            <w:noWrap/>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Income Tax - Companies &amp; Bodies Corporate</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10,458,691,224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11,569,000,000</w:t>
            </w:r>
          </w:p>
        </w:tc>
        <w:tc>
          <w:tcPr>
            <w:tcW w:w="1957" w:type="dxa"/>
            <w:vAlign w:val="bottom"/>
          </w:tcPr>
          <w:p w:rsidR="00870E58" w:rsidRPr="00870E58" w:rsidRDefault="00870E58" w:rsidP="00151572">
            <w:pPr>
              <w:spacing w:before="60" w:after="60" w:line="240" w:lineRule="auto"/>
              <w:ind w:right="115"/>
              <w:jc w:val="right"/>
              <w:rPr>
                <w:color w:val="000000"/>
                <w:sz w:val="22"/>
                <w:highlight w:val="yellow"/>
                <w:lang w:val="en-GB"/>
              </w:rPr>
            </w:pPr>
            <w:r w:rsidRPr="00870E58">
              <w:rPr>
                <w:color w:val="000000"/>
                <w:sz w:val="22"/>
                <w:lang w:val="en-GB"/>
              </w:rPr>
              <w:t>11,881,052,571</w:t>
            </w:r>
          </w:p>
        </w:tc>
        <w:tc>
          <w:tcPr>
            <w:tcW w:w="1259" w:type="dxa"/>
            <w:shd w:val="clear" w:color="auto" w:fill="auto"/>
            <w:noWrap/>
            <w:vAlign w:val="center"/>
          </w:tcPr>
          <w:p w:rsidR="00870E58" w:rsidRPr="00870E58" w:rsidRDefault="00870E58" w:rsidP="00151572">
            <w:pPr>
              <w:spacing w:before="60" w:after="60" w:line="240" w:lineRule="auto"/>
              <w:ind w:right="216"/>
              <w:jc w:val="right"/>
              <w:rPr>
                <w:color w:val="000000"/>
                <w:sz w:val="22"/>
                <w:lang w:val="en-GB"/>
              </w:rPr>
            </w:pPr>
            <w:r w:rsidRPr="00870E58">
              <w:rPr>
                <w:color w:val="000000"/>
                <w:sz w:val="22"/>
              </w:rPr>
              <w:t>13.60</w:t>
            </w:r>
          </w:p>
        </w:tc>
      </w:tr>
      <w:tr w:rsidR="00870E58" w:rsidRPr="00870E58" w:rsidTr="00151572">
        <w:trPr>
          <w:trHeight w:val="360"/>
          <w:jc w:val="center"/>
        </w:trPr>
        <w:tc>
          <w:tcPr>
            <w:tcW w:w="2041" w:type="dxa"/>
            <w:shd w:val="clear" w:color="auto" w:fill="auto"/>
            <w:noWrap/>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Tax Deduction at Source (TDS)</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1,096,452,981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1,190,000,000</w:t>
            </w:r>
          </w:p>
        </w:tc>
        <w:tc>
          <w:tcPr>
            <w:tcW w:w="1957" w:type="dxa"/>
            <w:vAlign w:val="bottom"/>
          </w:tcPr>
          <w:p w:rsidR="00870E58" w:rsidRPr="00870E58" w:rsidRDefault="00870E58" w:rsidP="00151572">
            <w:pPr>
              <w:spacing w:before="60" w:after="60" w:line="240" w:lineRule="auto"/>
              <w:ind w:right="117"/>
              <w:jc w:val="right"/>
              <w:rPr>
                <w:color w:val="FF0000"/>
                <w:sz w:val="22"/>
                <w:highlight w:val="yellow"/>
                <w:lang w:val="en-GB"/>
              </w:rPr>
            </w:pPr>
            <w:r w:rsidRPr="00870E58">
              <w:rPr>
                <w:sz w:val="22"/>
                <w:lang w:val="en-GB"/>
              </w:rPr>
              <w:t>1,236,186,349</w:t>
            </w:r>
          </w:p>
        </w:tc>
        <w:tc>
          <w:tcPr>
            <w:tcW w:w="1259" w:type="dxa"/>
            <w:shd w:val="clear" w:color="auto" w:fill="auto"/>
            <w:noWrap/>
            <w:vAlign w:val="center"/>
          </w:tcPr>
          <w:p w:rsidR="00870E58" w:rsidRPr="00870E58" w:rsidRDefault="00870E58" w:rsidP="00151572">
            <w:pPr>
              <w:spacing w:before="60" w:after="60" w:line="240" w:lineRule="auto"/>
              <w:ind w:right="222"/>
              <w:jc w:val="right"/>
              <w:rPr>
                <w:color w:val="000000"/>
                <w:sz w:val="22"/>
                <w:lang w:val="en-GB"/>
              </w:rPr>
            </w:pPr>
            <w:r w:rsidRPr="00870E58">
              <w:rPr>
                <w:color w:val="000000"/>
                <w:sz w:val="22"/>
              </w:rPr>
              <w:t>12.74</w:t>
            </w: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Value Added Tax</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28,804,959,528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30,230,000,000</w:t>
            </w:r>
          </w:p>
        </w:tc>
        <w:tc>
          <w:tcPr>
            <w:tcW w:w="1957" w:type="dxa"/>
            <w:vAlign w:val="bottom"/>
          </w:tcPr>
          <w:p w:rsidR="00870E58" w:rsidRPr="00870E58" w:rsidRDefault="00870E58" w:rsidP="00151572">
            <w:pPr>
              <w:spacing w:before="60" w:after="60" w:line="240" w:lineRule="auto"/>
              <w:ind w:right="117"/>
              <w:jc w:val="right"/>
              <w:rPr>
                <w:color w:val="000000"/>
                <w:sz w:val="22"/>
                <w:highlight w:val="yellow"/>
                <w:lang w:val="en-GB"/>
              </w:rPr>
            </w:pPr>
            <w:r w:rsidRPr="00870E58">
              <w:rPr>
                <w:color w:val="000000"/>
                <w:sz w:val="22"/>
                <w:lang w:val="en-GB"/>
              </w:rPr>
              <w:t>30,231,215,733</w:t>
            </w:r>
          </w:p>
        </w:tc>
        <w:tc>
          <w:tcPr>
            <w:tcW w:w="1259" w:type="dxa"/>
            <w:shd w:val="clear" w:color="auto" w:fill="auto"/>
            <w:vAlign w:val="center"/>
          </w:tcPr>
          <w:p w:rsidR="00870E58" w:rsidRPr="00870E58" w:rsidRDefault="00870E58" w:rsidP="00151572">
            <w:pPr>
              <w:spacing w:before="60" w:after="60" w:line="240" w:lineRule="auto"/>
              <w:ind w:right="222"/>
              <w:jc w:val="right"/>
              <w:rPr>
                <w:color w:val="000000"/>
                <w:sz w:val="22"/>
                <w:lang w:val="en-GB"/>
              </w:rPr>
            </w:pPr>
            <w:r w:rsidRPr="00870E58">
              <w:rPr>
                <w:color w:val="000000"/>
                <w:sz w:val="22"/>
              </w:rPr>
              <w:t>4.95</w:t>
            </w: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Taxes on Specific Services and Gambling</w:t>
            </w:r>
          </w:p>
        </w:tc>
        <w:tc>
          <w:tcPr>
            <w:tcW w:w="1714" w:type="dxa"/>
          </w:tcPr>
          <w:p w:rsidR="00870E58" w:rsidRPr="00870E58" w:rsidRDefault="00870E58" w:rsidP="00151572">
            <w:pPr>
              <w:spacing w:before="60" w:after="60" w:line="240" w:lineRule="auto"/>
              <w:ind w:right="69"/>
              <w:jc w:val="right"/>
              <w:rPr>
                <w:rFonts w:eastAsia="Times New Roman"/>
                <w:sz w:val="22"/>
                <w:lang w:eastAsia="en-GB"/>
              </w:rPr>
            </w:pPr>
            <w:r w:rsidRPr="00870E58">
              <w:rPr>
                <w:rFonts w:eastAsia="Times New Roman"/>
                <w:sz w:val="22"/>
                <w:lang w:eastAsia="en-GB"/>
              </w:rPr>
              <w:t>1,925,190,291</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rFonts w:eastAsia="Times New Roman"/>
                <w:sz w:val="22"/>
                <w:lang w:eastAsia="en-GB"/>
              </w:rPr>
              <w:t>1,905,000,000</w:t>
            </w:r>
          </w:p>
        </w:tc>
        <w:tc>
          <w:tcPr>
            <w:tcW w:w="1957" w:type="dxa"/>
          </w:tcPr>
          <w:p w:rsidR="00870E58" w:rsidRPr="00870E58" w:rsidRDefault="00870E58" w:rsidP="00151572">
            <w:pPr>
              <w:spacing w:before="60" w:after="60" w:line="240" w:lineRule="auto"/>
              <w:ind w:right="117"/>
              <w:jc w:val="right"/>
              <w:rPr>
                <w:sz w:val="22"/>
                <w:highlight w:val="yellow"/>
                <w:lang w:val="en-GB"/>
              </w:rPr>
            </w:pPr>
            <w:r w:rsidRPr="00870E58">
              <w:rPr>
                <w:sz w:val="22"/>
                <w:lang w:val="en-GB"/>
              </w:rPr>
              <w:t xml:space="preserve">1,891,290,624 </w:t>
            </w:r>
          </w:p>
        </w:tc>
        <w:tc>
          <w:tcPr>
            <w:tcW w:w="1259" w:type="dxa"/>
            <w:shd w:val="clear" w:color="auto" w:fill="auto"/>
            <w:vAlign w:val="center"/>
          </w:tcPr>
          <w:p w:rsidR="00870E58" w:rsidRPr="00870E58" w:rsidRDefault="00151572" w:rsidP="00151572">
            <w:pPr>
              <w:spacing w:before="60" w:after="60" w:line="240" w:lineRule="auto"/>
              <w:ind w:right="161"/>
              <w:jc w:val="right"/>
              <w:rPr>
                <w:color w:val="000000"/>
                <w:sz w:val="22"/>
                <w:lang w:val="en-GB"/>
              </w:rPr>
            </w:pPr>
            <w:r>
              <w:rPr>
                <w:sz w:val="22"/>
              </w:rPr>
              <w:t>(</w:t>
            </w:r>
            <w:r w:rsidR="00870E58" w:rsidRPr="00870E58">
              <w:rPr>
                <w:sz w:val="22"/>
              </w:rPr>
              <w:t>1.76</w:t>
            </w:r>
            <w:r>
              <w:rPr>
                <w:sz w:val="22"/>
              </w:rPr>
              <w:t>)</w:t>
            </w: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Passenger Fee on Air Tickets</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1,230,468,443 </w:t>
            </w:r>
          </w:p>
        </w:tc>
        <w:tc>
          <w:tcPr>
            <w:tcW w:w="1818" w:type="dxa"/>
          </w:tcPr>
          <w:p w:rsidR="00870E58" w:rsidRPr="00870E58" w:rsidRDefault="00870E58" w:rsidP="00151572">
            <w:pPr>
              <w:spacing w:before="60" w:after="60" w:line="240" w:lineRule="auto"/>
              <w:ind w:right="112"/>
              <w:jc w:val="right"/>
              <w:rPr>
                <w:rFonts w:eastAsia="Times New Roman"/>
                <w:color w:val="000000"/>
                <w:sz w:val="22"/>
                <w:lang w:eastAsia="en-GB"/>
              </w:rPr>
            </w:pPr>
            <w:r w:rsidRPr="00870E58">
              <w:rPr>
                <w:sz w:val="22"/>
                <w:lang w:val="en-GB"/>
              </w:rPr>
              <w:t>1,690,000,000</w:t>
            </w:r>
          </w:p>
        </w:tc>
        <w:tc>
          <w:tcPr>
            <w:tcW w:w="1957" w:type="dxa"/>
          </w:tcPr>
          <w:p w:rsidR="00870E58" w:rsidRPr="00870E58" w:rsidRDefault="00870E58" w:rsidP="00151572">
            <w:pPr>
              <w:spacing w:before="60" w:after="60" w:line="240" w:lineRule="auto"/>
              <w:ind w:right="117"/>
              <w:jc w:val="right"/>
              <w:rPr>
                <w:color w:val="FF0000"/>
                <w:sz w:val="22"/>
                <w:highlight w:val="yellow"/>
                <w:lang w:val="en-GB"/>
              </w:rPr>
            </w:pPr>
            <w:r w:rsidRPr="00870E58">
              <w:rPr>
                <w:sz w:val="22"/>
              </w:rPr>
              <w:t>1,651,539,540</w:t>
            </w:r>
          </w:p>
        </w:tc>
        <w:tc>
          <w:tcPr>
            <w:tcW w:w="1259" w:type="dxa"/>
            <w:shd w:val="clear" w:color="auto" w:fill="auto"/>
            <w:noWrap/>
            <w:vAlign w:val="center"/>
          </w:tcPr>
          <w:p w:rsidR="00870E58" w:rsidRPr="00870E58" w:rsidRDefault="00870E58" w:rsidP="00151572">
            <w:pPr>
              <w:spacing w:before="60" w:after="60" w:line="240" w:lineRule="auto"/>
              <w:ind w:right="222"/>
              <w:jc w:val="right"/>
              <w:rPr>
                <w:color w:val="000000"/>
                <w:sz w:val="22"/>
                <w:lang w:val="en-GB"/>
              </w:rPr>
            </w:pPr>
            <w:r w:rsidRPr="00870E58">
              <w:rPr>
                <w:color w:val="000000"/>
                <w:sz w:val="22"/>
              </w:rPr>
              <w:t>34.22</w:t>
            </w: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Environment Protection Fee</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402,607,080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380,000,000</w:t>
            </w:r>
          </w:p>
        </w:tc>
        <w:tc>
          <w:tcPr>
            <w:tcW w:w="1957" w:type="dxa"/>
          </w:tcPr>
          <w:p w:rsidR="00870E58" w:rsidRPr="00870E58" w:rsidRDefault="00870E58" w:rsidP="00151572">
            <w:pPr>
              <w:spacing w:before="60" w:after="60" w:line="240" w:lineRule="auto"/>
              <w:ind w:right="117"/>
              <w:jc w:val="right"/>
              <w:rPr>
                <w:sz w:val="22"/>
                <w:lang w:val="en-GB"/>
              </w:rPr>
            </w:pPr>
            <w:r w:rsidRPr="00870E58">
              <w:rPr>
                <w:sz w:val="22"/>
                <w:lang w:val="en-GB"/>
              </w:rPr>
              <w:t>382,504,623</w:t>
            </w:r>
          </w:p>
        </w:tc>
        <w:tc>
          <w:tcPr>
            <w:tcW w:w="1259" w:type="dxa"/>
            <w:shd w:val="clear" w:color="auto" w:fill="auto"/>
            <w:vAlign w:val="center"/>
          </w:tcPr>
          <w:p w:rsidR="00870E58" w:rsidRPr="00870E58" w:rsidRDefault="00151572" w:rsidP="00151572">
            <w:pPr>
              <w:tabs>
                <w:tab w:val="left" w:pos="792"/>
              </w:tabs>
              <w:spacing w:before="60" w:after="60" w:line="240" w:lineRule="auto"/>
              <w:ind w:right="222"/>
              <w:jc w:val="right"/>
              <w:rPr>
                <w:sz w:val="22"/>
                <w:lang w:val="en-GB"/>
              </w:rPr>
            </w:pPr>
            <w:r>
              <w:rPr>
                <w:sz w:val="22"/>
              </w:rPr>
              <w:t>(</w:t>
            </w:r>
            <w:r w:rsidR="00870E58" w:rsidRPr="00870E58">
              <w:rPr>
                <w:sz w:val="22"/>
              </w:rPr>
              <w:t>4.99</w:t>
            </w:r>
            <w:r>
              <w:rPr>
                <w:sz w:val="22"/>
              </w:rPr>
              <w:t>)</w:t>
            </w:r>
          </w:p>
        </w:tc>
      </w:tr>
      <w:tr w:rsidR="00870E58" w:rsidRPr="00870E58" w:rsidTr="00151572">
        <w:trPr>
          <w:trHeight w:val="360"/>
          <w:jc w:val="center"/>
        </w:trPr>
        <w:tc>
          <w:tcPr>
            <w:tcW w:w="2041" w:type="dxa"/>
            <w:shd w:val="clear" w:color="auto" w:fill="auto"/>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Advertising Structure Fee</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63,903,650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70,000,000</w:t>
            </w:r>
          </w:p>
        </w:tc>
        <w:tc>
          <w:tcPr>
            <w:tcW w:w="1957" w:type="dxa"/>
            <w:vAlign w:val="bottom"/>
          </w:tcPr>
          <w:p w:rsidR="00870E58" w:rsidRPr="00870E58" w:rsidRDefault="00870E58" w:rsidP="00151572">
            <w:pPr>
              <w:spacing w:before="60" w:after="60" w:line="240" w:lineRule="auto"/>
              <w:ind w:right="117"/>
              <w:jc w:val="right"/>
              <w:rPr>
                <w:sz w:val="22"/>
                <w:lang w:val="en-GB"/>
              </w:rPr>
            </w:pPr>
            <w:r w:rsidRPr="00870E58">
              <w:rPr>
                <w:sz w:val="22"/>
                <w:lang w:val="en-GB"/>
              </w:rPr>
              <w:t>57,588,713</w:t>
            </w:r>
          </w:p>
        </w:tc>
        <w:tc>
          <w:tcPr>
            <w:tcW w:w="1259" w:type="dxa"/>
            <w:shd w:val="clear" w:color="auto" w:fill="auto"/>
            <w:vAlign w:val="center"/>
          </w:tcPr>
          <w:p w:rsidR="00870E58" w:rsidRPr="00870E58" w:rsidRDefault="00151572" w:rsidP="00151572">
            <w:pPr>
              <w:spacing w:before="60" w:after="60" w:line="240" w:lineRule="auto"/>
              <w:ind w:right="161"/>
              <w:jc w:val="right"/>
              <w:rPr>
                <w:color w:val="000000"/>
                <w:sz w:val="22"/>
                <w:lang w:val="en-GB"/>
              </w:rPr>
            </w:pPr>
            <w:r>
              <w:rPr>
                <w:sz w:val="22"/>
              </w:rPr>
              <w:t>(</w:t>
            </w:r>
            <w:r w:rsidR="00870E58" w:rsidRPr="00870E58">
              <w:rPr>
                <w:sz w:val="22"/>
              </w:rPr>
              <w:t>9.88</w:t>
            </w:r>
            <w:r>
              <w:rPr>
                <w:sz w:val="22"/>
              </w:rPr>
              <w:t>)</w:t>
            </w:r>
          </w:p>
        </w:tc>
      </w:tr>
      <w:tr w:rsidR="00870E58" w:rsidRPr="00870E58" w:rsidTr="00151572">
        <w:trPr>
          <w:trHeight w:val="360"/>
          <w:jc w:val="center"/>
        </w:trPr>
        <w:tc>
          <w:tcPr>
            <w:tcW w:w="2041" w:type="dxa"/>
            <w:shd w:val="clear" w:color="auto" w:fill="auto"/>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Special Levy on Banks</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771,495,905</w:t>
            </w:r>
          </w:p>
        </w:tc>
        <w:tc>
          <w:tcPr>
            <w:tcW w:w="1818" w:type="dxa"/>
          </w:tcPr>
          <w:p w:rsidR="00870E58" w:rsidRPr="00870E58" w:rsidRDefault="00870E58" w:rsidP="00151572">
            <w:pPr>
              <w:spacing w:before="60" w:after="60" w:line="240" w:lineRule="auto"/>
              <w:ind w:right="112"/>
              <w:jc w:val="right"/>
              <w:rPr>
                <w:sz w:val="22"/>
                <w:lang w:val="en-GB"/>
              </w:rPr>
            </w:pPr>
            <w:r w:rsidRPr="00870E58">
              <w:rPr>
                <w:sz w:val="22"/>
                <w:lang w:val="en-GB"/>
              </w:rPr>
              <w:t>850,000,000</w:t>
            </w:r>
          </w:p>
        </w:tc>
        <w:tc>
          <w:tcPr>
            <w:tcW w:w="1957" w:type="dxa"/>
            <w:vAlign w:val="bottom"/>
          </w:tcPr>
          <w:p w:rsidR="00870E58" w:rsidRPr="00870E58" w:rsidRDefault="00870E58" w:rsidP="00151572">
            <w:pPr>
              <w:spacing w:before="60" w:after="60" w:line="240" w:lineRule="auto"/>
              <w:ind w:right="117"/>
              <w:jc w:val="right"/>
              <w:rPr>
                <w:sz w:val="22"/>
                <w:lang w:val="en-GB"/>
              </w:rPr>
            </w:pPr>
            <w:r w:rsidRPr="00870E58">
              <w:rPr>
                <w:sz w:val="22"/>
                <w:lang w:val="en-GB"/>
              </w:rPr>
              <w:t>845,843,866</w:t>
            </w:r>
          </w:p>
        </w:tc>
        <w:tc>
          <w:tcPr>
            <w:tcW w:w="1259" w:type="dxa"/>
            <w:shd w:val="clear" w:color="auto" w:fill="auto"/>
            <w:vAlign w:val="center"/>
          </w:tcPr>
          <w:p w:rsidR="00870E58" w:rsidRPr="00870E58" w:rsidRDefault="00870E58" w:rsidP="00151572">
            <w:pPr>
              <w:spacing w:before="60" w:after="60" w:line="240" w:lineRule="auto"/>
              <w:ind w:right="222"/>
              <w:jc w:val="right"/>
              <w:rPr>
                <w:sz w:val="22"/>
              </w:rPr>
            </w:pPr>
            <w:r w:rsidRPr="00870E58">
              <w:rPr>
                <w:sz w:val="22"/>
              </w:rPr>
              <w:t>9.64</w:t>
            </w:r>
          </w:p>
        </w:tc>
      </w:tr>
      <w:tr w:rsidR="00870E58" w:rsidRPr="00870E58" w:rsidTr="00151572">
        <w:trPr>
          <w:trHeight w:val="360"/>
          <w:jc w:val="center"/>
        </w:trPr>
        <w:tc>
          <w:tcPr>
            <w:tcW w:w="2041" w:type="dxa"/>
            <w:shd w:val="clear" w:color="auto" w:fill="auto"/>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 xml:space="preserve">Solidarity Levy on Telecommunication </w:t>
            </w:r>
            <w:proofErr w:type="spellStart"/>
            <w:r w:rsidRPr="00870E58">
              <w:rPr>
                <w:rFonts w:eastAsia="Times New Roman"/>
                <w:sz w:val="22"/>
                <w:lang w:eastAsia="en-GB"/>
              </w:rPr>
              <w:t>Co’s</w:t>
            </w:r>
            <w:proofErr w:type="spellEnd"/>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307,889,627</w:t>
            </w:r>
          </w:p>
        </w:tc>
        <w:tc>
          <w:tcPr>
            <w:tcW w:w="1818" w:type="dxa"/>
          </w:tcPr>
          <w:p w:rsidR="00870E58" w:rsidRPr="00870E58" w:rsidRDefault="00870E58" w:rsidP="00151572">
            <w:pPr>
              <w:spacing w:before="60" w:after="60" w:line="240" w:lineRule="auto"/>
              <w:ind w:right="112"/>
              <w:jc w:val="right"/>
              <w:rPr>
                <w:sz w:val="22"/>
                <w:lang w:val="en-GB"/>
              </w:rPr>
            </w:pPr>
            <w:r w:rsidRPr="00870E58">
              <w:rPr>
                <w:sz w:val="22"/>
                <w:lang w:val="en-GB"/>
              </w:rPr>
              <w:t>355,000,000</w:t>
            </w:r>
          </w:p>
        </w:tc>
        <w:tc>
          <w:tcPr>
            <w:tcW w:w="1957" w:type="dxa"/>
          </w:tcPr>
          <w:p w:rsidR="00870E58" w:rsidRPr="00870E58" w:rsidRDefault="00870E58" w:rsidP="00151572">
            <w:pPr>
              <w:spacing w:before="60" w:after="60" w:line="240" w:lineRule="auto"/>
              <w:ind w:right="117"/>
              <w:jc w:val="right"/>
              <w:rPr>
                <w:sz w:val="22"/>
                <w:lang w:val="en-GB"/>
              </w:rPr>
            </w:pPr>
            <w:r w:rsidRPr="00870E58">
              <w:rPr>
                <w:sz w:val="22"/>
                <w:lang w:val="en-GB"/>
              </w:rPr>
              <w:t>313,261,686</w:t>
            </w:r>
          </w:p>
        </w:tc>
        <w:tc>
          <w:tcPr>
            <w:tcW w:w="1259" w:type="dxa"/>
            <w:shd w:val="clear" w:color="auto" w:fill="auto"/>
            <w:vAlign w:val="center"/>
          </w:tcPr>
          <w:p w:rsidR="00870E58" w:rsidRPr="00870E58" w:rsidRDefault="00870E58" w:rsidP="00151572">
            <w:pPr>
              <w:spacing w:before="60" w:after="60" w:line="240" w:lineRule="auto"/>
              <w:ind w:right="216"/>
              <w:jc w:val="right"/>
              <w:rPr>
                <w:sz w:val="22"/>
              </w:rPr>
            </w:pPr>
            <w:r w:rsidRPr="00870E58">
              <w:rPr>
                <w:sz w:val="22"/>
              </w:rPr>
              <w:t>1.74</w:t>
            </w:r>
          </w:p>
        </w:tc>
      </w:tr>
      <w:tr w:rsidR="00870E58" w:rsidRPr="00870E58" w:rsidTr="00151572">
        <w:trPr>
          <w:trHeight w:val="360"/>
          <w:jc w:val="center"/>
        </w:trPr>
        <w:tc>
          <w:tcPr>
            <w:tcW w:w="2041" w:type="dxa"/>
            <w:shd w:val="clear" w:color="auto" w:fill="auto"/>
            <w:noWrap/>
            <w:hideMark/>
          </w:tcPr>
          <w:p w:rsidR="00870E58" w:rsidRPr="00870E58" w:rsidRDefault="00870E58" w:rsidP="00151572">
            <w:pPr>
              <w:spacing w:before="60" w:after="60" w:line="240" w:lineRule="auto"/>
              <w:rPr>
                <w:rFonts w:eastAsia="Times New Roman"/>
                <w:sz w:val="22"/>
                <w:lang w:eastAsia="en-GB"/>
              </w:rPr>
            </w:pPr>
            <w:r w:rsidRPr="00870E58">
              <w:rPr>
                <w:rFonts w:eastAsia="Times New Roman"/>
                <w:sz w:val="22"/>
                <w:lang w:eastAsia="en-GB"/>
              </w:rPr>
              <w:t>MRA - Penalties</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color w:val="000000"/>
                <w:sz w:val="22"/>
                <w:lang w:eastAsia="en-GB"/>
              </w:rPr>
              <w:t xml:space="preserve">21,999,176 </w:t>
            </w:r>
          </w:p>
        </w:tc>
        <w:tc>
          <w:tcPr>
            <w:tcW w:w="1818" w:type="dxa"/>
          </w:tcPr>
          <w:p w:rsidR="00870E58" w:rsidRPr="00870E58" w:rsidRDefault="00870E58" w:rsidP="00151572">
            <w:pPr>
              <w:spacing w:before="60" w:after="60" w:line="240" w:lineRule="auto"/>
              <w:ind w:right="112"/>
              <w:jc w:val="right"/>
              <w:rPr>
                <w:rFonts w:eastAsia="Times New Roman"/>
                <w:sz w:val="22"/>
                <w:lang w:eastAsia="en-GB"/>
              </w:rPr>
            </w:pPr>
            <w:r w:rsidRPr="00870E58">
              <w:rPr>
                <w:sz w:val="22"/>
                <w:lang w:val="en-GB"/>
              </w:rPr>
              <w:t>30,000,000</w:t>
            </w:r>
          </w:p>
        </w:tc>
        <w:tc>
          <w:tcPr>
            <w:tcW w:w="1957" w:type="dxa"/>
            <w:vAlign w:val="center"/>
          </w:tcPr>
          <w:p w:rsidR="00870E58" w:rsidRPr="00870E58" w:rsidRDefault="00870E58" w:rsidP="00151572">
            <w:pPr>
              <w:spacing w:before="60" w:after="60" w:line="240" w:lineRule="auto"/>
              <w:ind w:right="117"/>
              <w:jc w:val="right"/>
              <w:rPr>
                <w:bCs/>
                <w:color w:val="000000"/>
                <w:sz w:val="22"/>
                <w:lang w:val="en-GB"/>
              </w:rPr>
            </w:pPr>
            <w:r w:rsidRPr="00870E58">
              <w:rPr>
                <w:bCs/>
                <w:color w:val="000000"/>
                <w:sz w:val="22"/>
              </w:rPr>
              <w:t>23,763,401</w:t>
            </w:r>
          </w:p>
        </w:tc>
        <w:tc>
          <w:tcPr>
            <w:tcW w:w="1259" w:type="dxa"/>
            <w:shd w:val="clear" w:color="auto" w:fill="auto"/>
            <w:noWrap/>
            <w:vAlign w:val="center"/>
          </w:tcPr>
          <w:p w:rsidR="00870E58" w:rsidRPr="00870E58" w:rsidRDefault="00870E58" w:rsidP="00151572">
            <w:pPr>
              <w:spacing w:before="60" w:after="60" w:line="240" w:lineRule="auto"/>
              <w:ind w:right="222"/>
              <w:jc w:val="right"/>
              <w:rPr>
                <w:color w:val="000000"/>
                <w:sz w:val="22"/>
                <w:lang w:val="en-GB"/>
              </w:rPr>
            </w:pPr>
            <w:r w:rsidRPr="00870E58">
              <w:rPr>
                <w:color w:val="000000"/>
                <w:sz w:val="22"/>
              </w:rPr>
              <w:t>8.02 </w:t>
            </w:r>
          </w:p>
        </w:tc>
      </w:tr>
      <w:tr w:rsidR="00870E58" w:rsidRPr="00870E58" w:rsidTr="00151572">
        <w:trPr>
          <w:trHeight w:val="360"/>
          <w:jc w:val="center"/>
        </w:trPr>
        <w:tc>
          <w:tcPr>
            <w:tcW w:w="2041" w:type="dxa"/>
            <w:shd w:val="clear" w:color="auto" w:fill="auto"/>
            <w:noWrap/>
            <w:hideMark/>
          </w:tcPr>
          <w:p w:rsidR="00870E58" w:rsidRPr="00870E58" w:rsidRDefault="00870E58" w:rsidP="00151572">
            <w:pPr>
              <w:spacing w:before="60" w:after="60" w:line="240" w:lineRule="auto"/>
              <w:rPr>
                <w:rFonts w:eastAsia="Times New Roman"/>
                <w:b/>
                <w:sz w:val="22"/>
                <w:lang w:eastAsia="en-GB"/>
              </w:rPr>
            </w:pPr>
            <w:r w:rsidRPr="00870E58">
              <w:rPr>
                <w:rFonts w:eastAsia="Times New Roman"/>
                <w:b/>
                <w:sz w:val="22"/>
                <w:lang w:eastAsia="en-GB"/>
              </w:rPr>
              <w:t>Total</w:t>
            </w:r>
          </w:p>
        </w:tc>
        <w:tc>
          <w:tcPr>
            <w:tcW w:w="1714" w:type="dxa"/>
          </w:tcPr>
          <w:p w:rsidR="00870E58" w:rsidRPr="00870E58" w:rsidRDefault="00870E58" w:rsidP="00151572">
            <w:pPr>
              <w:spacing w:before="60" w:after="60" w:line="240" w:lineRule="auto"/>
              <w:ind w:right="69"/>
              <w:jc w:val="right"/>
              <w:rPr>
                <w:rFonts w:eastAsia="Times New Roman"/>
                <w:color w:val="000000"/>
                <w:sz w:val="22"/>
                <w:lang w:eastAsia="en-GB"/>
              </w:rPr>
            </w:pPr>
            <w:r w:rsidRPr="00870E58">
              <w:rPr>
                <w:rFonts w:eastAsia="Times New Roman"/>
                <w:b/>
                <w:bCs/>
                <w:color w:val="000000"/>
                <w:sz w:val="22"/>
                <w:lang w:eastAsia="en-GB"/>
              </w:rPr>
              <w:t>52,704,431,461</w:t>
            </w:r>
          </w:p>
        </w:tc>
        <w:tc>
          <w:tcPr>
            <w:tcW w:w="1818" w:type="dxa"/>
          </w:tcPr>
          <w:p w:rsidR="00870E58" w:rsidRPr="00870E58" w:rsidRDefault="00870E58" w:rsidP="00151572">
            <w:pPr>
              <w:spacing w:before="60" w:after="60" w:line="240" w:lineRule="auto"/>
              <w:ind w:right="112"/>
              <w:jc w:val="right"/>
              <w:rPr>
                <w:rFonts w:eastAsia="Times New Roman"/>
                <w:b/>
                <w:sz w:val="22"/>
                <w:lang w:eastAsia="en-GB"/>
              </w:rPr>
            </w:pPr>
            <w:r w:rsidRPr="00870E58">
              <w:rPr>
                <w:rFonts w:eastAsia="Times New Roman"/>
                <w:b/>
                <w:sz w:val="22"/>
                <w:lang w:eastAsia="en-GB"/>
              </w:rPr>
              <w:t>56,939,000,000</w:t>
            </w:r>
          </w:p>
        </w:tc>
        <w:tc>
          <w:tcPr>
            <w:tcW w:w="1957" w:type="dxa"/>
          </w:tcPr>
          <w:p w:rsidR="00870E58" w:rsidRPr="00870E58" w:rsidRDefault="00870E58" w:rsidP="00151572">
            <w:pPr>
              <w:spacing w:before="60" w:after="60" w:line="240" w:lineRule="auto"/>
              <w:ind w:right="117"/>
              <w:jc w:val="right"/>
              <w:rPr>
                <w:rFonts w:eastAsia="Times New Roman"/>
                <w:b/>
                <w:sz w:val="22"/>
                <w:lang w:eastAsia="en-GB"/>
              </w:rPr>
            </w:pPr>
            <w:r w:rsidRPr="00870E58">
              <w:rPr>
                <w:rFonts w:eastAsia="Times New Roman"/>
                <w:b/>
                <w:sz w:val="22"/>
                <w:lang w:eastAsia="en-GB"/>
              </w:rPr>
              <w:t>57,175,722,039</w:t>
            </w:r>
          </w:p>
        </w:tc>
        <w:tc>
          <w:tcPr>
            <w:tcW w:w="1259" w:type="dxa"/>
            <w:shd w:val="clear" w:color="auto" w:fill="auto"/>
            <w:noWrap/>
          </w:tcPr>
          <w:p w:rsidR="00870E58" w:rsidRPr="00870E58" w:rsidRDefault="00870E58" w:rsidP="00151572">
            <w:pPr>
              <w:spacing w:before="60" w:after="60" w:line="240" w:lineRule="auto"/>
              <w:ind w:right="222"/>
              <w:jc w:val="right"/>
              <w:rPr>
                <w:rFonts w:eastAsia="Times New Roman"/>
                <w:b/>
                <w:sz w:val="22"/>
                <w:lang w:eastAsia="en-GB"/>
              </w:rPr>
            </w:pPr>
            <w:r w:rsidRPr="00870E58">
              <w:rPr>
                <w:rFonts w:eastAsia="Times New Roman"/>
                <w:b/>
                <w:sz w:val="22"/>
                <w:lang w:eastAsia="en-GB"/>
              </w:rPr>
              <w:t>8.50</w:t>
            </w:r>
          </w:p>
        </w:tc>
      </w:tr>
    </w:tbl>
    <w:p w:rsidR="00870E58" w:rsidRDefault="00870E58" w:rsidP="006E43E0">
      <w:pPr>
        <w:pBdr>
          <w:bottom w:val="single" w:sz="4" w:space="1" w:color="auto"/>
        </w:pBdr>
        <w:autoSpaceDE w:val="0"/>
        <w:autoSpaceDN w:val="0"/>
        <w:adjustRightInd w:val="0"/>
        <w:spacing w:after="0" w:line="240" w:lineRule="auto"/>
        <w:rPr>
          <w:rFonts w:eastAsia="HelveticaNeueLT Std"/>
          <w:sz w:val="20"/>
          <w:szCs w:val="20"/>
        </w:rPr>
      </w:pPr>
    </w:p>
    <w:p w:rsidR="00DE55AE" w:rsidRDefault="00870E58" w:rsidP="00870E58">
      <w:pPr>
        <w:autoSpaceDE w:val="0"/>
        <w:autoSpaceDN w:val="0"/>
        <w:adjustRightInd w:val="0"/>
        <w:spacing w:after="0" w:line="240" w:lineRule="auto"/>
        <w:rPr>
          <w:rFonts w:eastAsia="HelveticaNeueLT Std"/>
          <w:i/>
          <w:sz w:val="20"/>
          <w:szCs w:val="20"/>
        </w:rPr>
      </w:pPr>
      <w:r w:rsidRPr="00870E58">
        <w:rPr>
          <w:rFonts w:eastAsia="HelveticaNeueLT Std"/>
          <w:i/>
          <w:sz w:val="20"/>
          <w:szCs w:val="20"/>
        </w:rPr>
        <w:t xml:space="preserve">Source: Accountant General’s Report </w:t>
      </w:r>
    </w:p>
    <w:p w:rsidR="00870E58" w:rsidRPr="00870E58" w:rsidRDefault="006E43E0" w:rsidP="006E43E0">
      <w:pPr>
        <w:autoSpaceDE w:val="0"/>
        <w:autoSpaceDN w:val="0"/>
        <w:adjustRightInd w:val="0"/>
        <w:spacing w:after="0" w:line="240" w:lineRule="auto"/>
        <w:jc w:val="both"/>
        <w:rPr>
          <w:rFonts w:eastAsia="Times New Roman"/>
          <w:b/>
          <w:szCs w:val="24"/>
          <w:bdr w:val="none" w:sz="0" w:space="0" w:color="auto" w:frame="1"/>
        </w:rPr>
      </w:pPr>
      <w:r>
        <w:rPr>
          <w:b/>
          <w:szCs w:val="24"/>
        </w:rPr>
        <w:lastRenderedPageBreak/>
        <w:t>6.4</w:t>
      </w:r>
      <w:r w:rsidR="00870E58" w:rsidRPr="00870E58">
        <w:rPr>
          <w:b/>
          <w:szCs w:val="24"/>
        </w:rPr>
        <w:tab/>
        <w:t>Statement of Arrears of Revenue</w:t>
      </w:r>
    </w:p>
    <w:p w:rsidR="00870E58" w:rsidRPr="00870E58" w:rsidRDefault="00870E58" w:rsidP="006E43E0">
      <w:pPr>
        <w:autoSpaceDE w:val="0"/>
        <w:autoSpaceDN w:val="0"/>
        <w:adjustRightInd w:val="0"/>
        <w:spacing w:after="0" w:line="240" w:lineRule="auto"/>
        <w:jc w:val="both"/>
        <w:rPr>
          <w:rFonts w:eastAsia="Times New Roman"/>
          <w:b/>
          <w:szCs w:val="24"/>
          <w:bdr w:val="none" w:sz="0" w:space="0" w:color="auto" w:frame="1"/>
        </w:rPr>
      </w:pPr>
    </w:p>
    <w:p w:rsidR="00870E58" w:rsidRPr="00870E58" w:rsidRDefault="00870E58" w:rsidP="006E43E0">
      <w:pPr>
        <w:spacing w:after="0" w:line="240" w:lineRule="auto"/>
        <w:contextualSpacing/>
        <w:jc w:val="both"/>
        <w:rPr>
          <w:rFonts w:eastAsia="Times New Roman"/>
          <w:szCs w:val="24"/>
          <w:bdr w:val="none" w:sz="0" w:space="0" w:color="auto" w:frame="1"/>
        </w:rPr>
      </w:pPr>
      <w:r w:rsidRPr="00870E58">
        <w:rPr>
          <w:rFonts w:eastAsia="Times New Roman"/>
          <w:szCs w:val="24"/>
          <w:bdr w:val="none" w:sz="0" w:space="0" w:color="auto" w:frame="1"/>
        </w:rPr>
        <w:t>The MRA is required to submit a Statement of Arrears of Revenue to the Accountant General (AG) on a half yearly basis. The Statement of Arrears includes ‘an aged list of Collectible Debts’ together with ‘Non-Collectible Debts’ and ‘Total Book Balances’ by tax type.</w:t>
      </w:r>
      <w:r w:rsidR="003C3E99">
        <w:rPr>
          <w:rFonts w:eastAsia="Times New Roman"/>
          <w:szCs w:val="24"/>
          <w:bdr w:val="none" w:sz="0" w:space="0" w:color="auto" w:frame="1"/>
        </w:rPr>
        <w:t xml:space="preserve"> </w:t>
      </w:r>
    </w:p>
    <w:p w:rsidR="00870E58" w:rsidRPr="00870E58" w:rsidRDefault="00870E58" w:rsidP="006E43E0">
      <w:pPr>
        <w:spacing w:after="0" w:line="240" w:lineRule="auto"/>
        <w:contextualSpacing/>
        <w:jc w:val="both"/>
        <w:rPr>
          <w:rFonts w:eastAsia="Times New Roman"/>
          <w:szCs w:val="24"/>
          <w:bdr w:val="none" w:sz="0" w:space="0" w:color="auto" w:frame="1"/>
        </w:rPr>
      </w:pPr>
    </w:p>
    <w:p w:rsidR="00870E58" w:rsidRPr="00870E58" w:rsidRDefault="00870E58" w:rsidP="006E43E0">
      <w:pPr>
        <w:autoSpaceDE w:val="0"/>
        <w:autoSpaceDN w:val="0"/>
        <w:adjustRightInd w:val="0"/>
        <w:spacing w:after="0" w:line="240" w:lineRule="auto"/>
        <w:jc w:val="both"/>
        <w:rPr>
          <w:szCs w:val="24"/>
          <w:lang w:val="en-GB"/>
        </w:rPr>
      </w:pPr>
      <w:r w:rsidRPr="00870E58">
        <w:rPr>
          <w:rFonts w:eastAsia="Times New Roman"/>
          <w:szCs w:val="24"/>
          <w:bdr w:val="none" w:sz="0" w:space="0" w:color="auto" w:frame="1"/>
        </w:rPr>
        <w:t>The arrears figure included in the AG’s report is based on Collectible Debts generated by the Systems, Applications and Products (SAP) software used by the MRA.</w:t>
      </w:r>
      <w:r w:rsidR="003C3E99">
        <w:rPr>
          <w:rFonts w:eastAsia="Times New Roman"/>
          <w:szCs w:val="24"/>
          <w:bdr w:val="none" w:sz="0" w:space="0" w:color="auto" w:frame="1"/>
        </w:rPr>
        <w:t xml:space="preserve"> </w:t>
      </w:r>
      <w:r w:rsidRPr="00870E58">
        <w:rPr>
          <w:rFonts w:eastAsia="Times New Roman"/>
          <w:szCs w:val="24"/>
          <w:bdr w:val="none" w:sz="0" w:space="0" w:color="auto" w:frame="1"/>
        </w:rPr>
        <w:t xml:space="preserve">The </w:t>
      </w:r>
      <w:r w:rsidRPr="00870E58">
        <w:rPr>
          <w:szCs w:val="24"/>
        </w:rPr>
        <w:t>Collectible Debts comprise</w:t>
      </w:r>
      <w:r w:rsidRPr="00870E58">
        <w:rPr>
          <w:szCs w:val="24"/>
          <w:lang w:val="en-GB"/>
        </w:rPr>
        <w:t xml:space="preserve"> taxes, penalties and interests due for payment at year end and also cases that are disputed at either the Supreme Court or the Privy Council. </w:t>
      </w:r>
    </w:p>
    <w:p w:rsidR="00870E58" w:rsidRPr="00870E58" w:rsidRDefault="00870E58" w:rsidP="006E43E0">
      <w:pPr>
        <w:autoSpaceDE w:val="0"/>
        <w:autoSpaceDN w:val="0"/>
        <w:adjustRightInd w:val="0"/>
        <w:spacing w:after="0" w:line="240" w:lineRule="auto"/>
        <w:jc w:val="both"/>
        <w:rPr>
          <w:szCs w:val="24"/>
        </w:rPr>
      </w:pPr>
    </w:p>
    <w:p w:rsidR="00870E58" w:rsidRPr="00870E58" w:rsidRDefault="00870E58" w:rsidP="006E43E0">
      <w:pPr>
        <w:spacing w:after="0" w:line="240" w:lineRule="auto"/>
        <w:contextualSpacing/>
        <w:jc w:val="both"/>
        <w:rPr>
          <w:szCs w:val="24"/>
          <w:lang w:val="en-GB"/>
        </w:rPr>
      </w:pPr>
      <w:r w:rsidRPr="00870E58">
        <w:rPr>
          <w:rFonts w:eastAsia="Times New Roman"/>
          <w:szCs w:val="24"/>
          <w:bdr w:val="none" w:sz="0" w:space="0" w:color="auto" w:frame="1"/>
        </w:rPr>
        <w:t xml:space="preserve">Non-Collectible debts represent tax claims </w:t>
      </w:r>
      <w:r w:rsidRPr="00870E58">
        <w:rPr>
          <w:szCs w:val="24"/>
        </w:rPr>
        <w:t xml:space="preserve">pending under Objection at the MRA, cases lodged at the Assessment Review Committee (ARC) and also those cases where assessments have been raised but </w:t>
      </w:r>
      <w:r w:rsidRPr="00870E58">
        <w:rPr>
          <w:szCs w:val="24"/>
          <w:lang w:val="en-GB"/>
        </w:rPr>
        <w:t>objections can still be lodged within the st</w:t>
      </w:r>
      <w:r w:rsidR="00151572">
        <w:rPr>
          <w:szCs w:val="24"/>
          <w:lang w:val="en-GB"/>
        </w:rPr>
        <w:t>atutory time limit of 28 days described as sum otherwise not due</w:t>
      </w:r>
      <w:r w:rsidRPr="00870E58">
        <w:rPr>
          <w:szCs w:val="24"/>
          <w:lang w:val="en-GB"/>
        </w:rPr>
        <w:t>.</w:t>
      </w:r>
      <w:r w:rsidR="003C3E99">
        <w:rPr>
          <w:szCs w:val="24"/>
          <w:lang w:val="en-GB"/>
        </w:rPr>
        <w:t xml:space="preserve"> </w:t>
      </w:r>
    </w:p>
    <w:p w:rsidR="00870E58" w:rsidRPr="00870E58" w:rsidRDefault="00870E58" w:rsidP="006E43E0">
      <w:pPr>
        <w:spacing w:after="0" w:line="240" w:lineRule="auto"/>
        <w:contextualSpacing/>
        <w:jc w:val="both"/>
        <w:rPr>
          <w:rFonts w:eastAsia="Times New Roman"/>
          <w:szCs w:val="24"/>
          <w:bdr w:val="none" w:sz="0" w:space="0" w:color="auto" w:frame="1"/>
        </w:rPr>
      </w:pPr>
    </w:p>
    <w:p w:rsidR="00870E58" w:rsidRPr="00870E58" w:rsidRDefault="006E43E0" w:rsidP="006E43E0">
      <w:pPr>
        <w:spacing w:after="0" w:line="240" w:lineRule="auto"/>
        <w:contextualSpacing/>
        <w:jc w:val="both"/>
        <w:rPr>
          <w:szCs w:val="24"/>
          <w:lang w:val="en-GB"/>
        </w:rPr>
      </w:pPr>
      <w:r>
        <w:rPr>
          <w:szCs w:val="24"/>
          <w:lang w:val="en-GB"/>
        </w:rPr>
        <w:t>Table 6-4</w:t>
      </w:r>
      <w:r w:rsidR="00870E58" w:rsidRPr="00870E58">
        <w:rPr>
          <w:szCs w:val="24"/>
          <w:lang w:val="en-GB"/>
        </w:rPr>
        <w:t xml:space="preserve"> gives a breakdown of Collectible and Non-Collectible Debts as of 30 June 2017.</w:t>
      </w:r>
    </w:p>
    <w:p w:rsidR="00870E58" w:rsidRPr="00870E58" w:rsidRDefault="00870E58" w:rsidP="00870E58">
      <w:pPr>
        <w:contextualSpacing/>
        <w:jc w:val="both"/>
        <w:rPr>
          <w:szCs w:val="24"/>
          <w:lang w:val="en-GB"/>
        </w:rPr>
      </w:pPr>
    </w:p>
    <w:p w:rsidR="00870E58" w:rsidRPr="00870E58" w:rsidRDefault="00870E58" w:rsidP="00D57473">
      <w:pPr>
        <w:spacing w:after="0"/>
        <w:contextualSpacing/>
        <w:jc w:val="center"/>
        <w:rPr>
          <w:i/>
          <w:szCs w:val="24"/>
          <w:lang w:val="en-GB"/>
        </w:rPr>
      </w:pPr>
      <w:r w:rsidRPr="00870E58">
        <w:rPr>
          <w:i/>
          <w:szCs w:val="24"/>
          <w:lang w:val="en-GB"/>
        </w:rPr>
        <w:t xml:space="preserve">Table </w:t>
      </w:r>
      <w:bookmarkStart w:id="4" w:name="_Hlk507249881"/>
      <w:r w:rsidR="006E43E0">
        <w:rPr>
          <w:i/>
          <w:szCs w:val="24"/>
          <w:lang w:val="en-GB"/>
        </w:rPr>
        <w:t>6-</w:t>
      </w:r>
      <w:proofErr w:type="gramStart"/>
      <w:r w:rsidR="006E43E0">
        <w:rPr>
          <w:i/>
          <w:szCs w:val="24"/>
          <w:lang w:val="en-GB"/>
        </w:rPr>
        <w:t>4</w:t>
      </w:r>
      <w:r w:rsidR="00D57473">
        <w:rPr>
          <w:i/>
          <w:szCs w:val="24"/>
          <w:lang w:val="en-GB"/>
        </w:rPr>
        <w:t xml:space="preserve"> </w:t>
      </w:r>
      <w:r w:rsidR="0095055A">
        <w:rPr>
          <w:i/>
          <w:szCs w:val="24"/>
          <w:lang w:val="en-GB"/>
        </w:rPr>
        <w:t xml:space="preserve"> </w:t>
      </w:r>
      <w:r w:rsidRPr="00870E58">
        <w:rPr>
          <w:i/>
          <w:szCs w:val="24"/>
          <w:lang w:val="en-GB"/>
        </w:rPr>
        <w:t>Collectible</w:t>
      </w:r>
      <w:proofErr w:type="gramEnd"/>
      <w:r w:rsidRPr="00870E58">
        <w:rPr>
          <w:i/>
          <w:szCs w:val="24"/>
          <w:lang w:val="en-GB"/>
        </w:rPr>
        <w:t xml:space="preserve"> and Non-Collectible Debts</w:t>
      </w:r>
      <w:bookmarkEnd w:id="4"/>
    </w:p>
    <w:p w:rsidR="00870E58" w:rsidRDefault="00870E58" w:rsidP="00D57473">
      <w:pPr>
        <w:spacing w:after="0"/>
        <w:contextualSpacing/>
        <w:jc w:val="right"/>
        <w:rPr>
          <w:i/>
          <w:szCs w:val="24"/>
          <w:lang w:val="en-GB"/>
        </w:rPr>
      </w:pPr>
    </w:p>
    <w:p w:rsidR="00D57473" w:rsidRPr="00870E58" w:rsidRDefault="00D57473" w:rsidP="00D57473">
      <w:pPr>
        <w:pBdr>
          <w:top w:val="single" w:sz="4" w:space="1" w:color="auto"/>
        </w:pBdr>
        <w:contextualSpacing/>
        <w:jc w:val="right"/>
        <w:rPr>
          <w:i/>
          <w:szCs w:val="24"/>
          <w:lang w:val="en-GB"/>
        </w:rPr>
      </w:pPr>
    </w:p>
    <w:tbl>
      <w:tblPr>
        <w:tblStyle w:val="TableGrid1"/>
        <w:tblW w:w="86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9"/>
        <w:gridCol w:w="1100"/>
        <w:gridCol w:w="1509"/>
        <w:gridCol w:w="1236"/>
        <w:gridCol w:w="1613"/>
      </w:tblGrid>
      <w:tr w:rsidR="00870E58" w:rsidRPr="006E43E0" w:rsidTr="00D57473">
        <w:trPr>
          <w:trHeight w:val="20"/>
          <w:jc w:val="center"/>
        </w:trPr>
        <w:tc>
          <w:tcPr>
            <w:tcW w:w="3179" w:type="dxa"/>
            <w:tcMar>
              <w:bottom w:w="0" w:type="dxa"/>
            </w:tcMar>
          </w:tcPr>
          <w:p w:rsidR="00870E58" w:rsidRPr="006E43E0" w:rsidRDefault="00870E58" w:rsidP="00870E58">
            <w:pPr>
              <w:jc w:val="both"/>
              <w:rPr>
                <w:rFonts w:ascii="Times New Roman" w:hAnsi="Times New Roman"/>
                <w:lang w:val="en-GB"/>
              </w:rPr>
            </w:pPr>
          </w:p>
        </w:tc>
        <w:tc>
          <w:tcPr>
            <w:tcW w:w="2609" w:type="dxa"/>
            <w:gridSpan w:val="2"/>
            <w:tcMar>
              <w:bottom w:w="0" w:type="dxa"/>
            </w:tcMar>
          </w:tcPr>
          <w:p w:rsidR="00870E58" w:rsidRPr="006E43E0" w:rsidRDefault="00870E58" w:rsidP="00870E58">
            <w:pPr>
              <w:jc w:val="center"/>
              <w:rPr>
                <w:rFonts w:ascii="Times New Roman" w:hAnsi="Times New Roman"/>
                <w:lang w:val="en-GB"/>
              </w:rPr>
            </w:pPr>
            <w:r w:rsidRPr="006E43E0">
              <w:rPr>
                <w:rFonts w:ascii="Times New Roman" w:eastAsia="Times New Roman" w:hAnsi="Times New Roman"/>
                <w:b/>
                <w:bCs/>
                <w:color w:val="000000"/>
                <w:lang w:val="en-GB" w:eastAsia="en-GB"/>
              </w:rPr>
              <w:t>Collectible Debts (Included in AG's Annual Report as Arrears)</w:t>
            </w:r>
          </w:p>
        </w:tc>
        <w:tc>
          <w:tcPr>
            <w:tcW w:w="2849" w:type="dxa"/>
            <w:gridSpan w:val="2"/>
            <w:tcMar>
              <w:bottom w:w="0" w:type="dxa"/>
            </w:tcMar>
          </w:tcPr>
          <w:p w:rsidR="00870E58" w:rsidRPr="006E43E0" w:rsidRDefault="00870E58" w:rsidP="00870E58">
            <w:pPr>
              <w:jc w:val="center"/>
              <w:rPr>
                <w:rFonts w:ascii="Times New Roman" w:hAnsi="Times New Roman"/>
                <w:lang w:val="en-GB"/>
              </w:rPr>
            </w:pPr>
            <w:r w:rsidRPr="006E43E0">
              <w:rPr>
                <w:rFonts w:ascii="Times New Roman" w:eastAsia="Times New Roman" w:hAnsi="Times New Roman"/>
                <w:b/>
                <w:bCs/>
                <w:color w:val="000000"/>
                <w:lang w:val="en-GB" w:eastAsia="en-GB"/>
              </w:rPr>
              <w:t>Non- Collectible Debts</w:t>
            </w:r>
          </w:p>
        </w:tc>
      </w:tr>
      <w:tr w:rsidR="00870E58" w:rsidRPr="006E43E0" w:rsidTr="00D57473">
        <w:trPr>
          <w:trHeight w:val="20"/>
          <w:jc w:val="center"/>
        </w:trPr>
        <w:tc>
          <w:tcPr>
            <w:tcW w:w="3179" w:type="dxa"/>
            <w:tcMar>
              <w:bottom w:w="142" w:type="dxa"/>
            </w:tcMar>
          </w:tcPr>
          <w:p w:rsidR="00870E58" w:rsidRPr="006E43E0" w:rsidRDefault="00870E58" w:rsidP="00D57473">
            <w:pPr>
              <w:jc w:val="both"/>
              <w:rPr>
                <w:rFonts w:ascii="Times New Roman" w:hAnsi="Times New Roman"/>
                <w:lang w:val="en-GB"/>
              </w:rPr>
            </w:pPr>
          </w:p>
        </w:tc>
        <w:tc>
          <w:tcPr>
            <w:tcW w:w="1100" w:type="dxa"/>
            <w:tcMar>
              <w:bottom w:w="142" w:type="dxa"/>
            </w:tcMar>
          </w:tcPr>
          <w:p w:rsidR="00870E58" w:rsidRPr="006E43E0" w:rsidRDefault="00870E58" w:rsidP="00D57473">
            <w:pPr>
              <w:jc w:val="center"/>
              <w:rPr>
                <w:rFonts w:ascii="Times New Roman" w:hAnsi="Times New Roman"/>
                <w:lang w:val="en-GB"/>
              </w:rPr>
            </w:pPr>
            <w:r w:rsidRPr="006E43E0">
              <w:rPr>
                <w:rFonts w:ascii="Times New Roman" w:eastAsia="Times New Roman" w:hAnsi="Times New Roman"/>
                <w:b/>
                <w:bCs/>
                <w:color w:val="000000"/>
                <w:lang w:val="en-GB" w:eastAsia="en-GB"/>
              </w:rPr>
              <w:t>No of Debtors</w:t>
            </w:r>
          </w:p>
        </w:tc>
        <w:tc>
          <w:tcPr>
            <w:tcW w:w="1509" w:type="dxa"/>
            <w:tcMar>
              <w:bottom w:w="142" w:type="dxa"/>
            </w:tcMar>
            <w:vAlign w:val="bottom"/>
          </w:tcPr>
          <w:p w:rsidR="00870E58" w:rsidRPr="006E43E0" w:rsidRDefault="00870E58" w:rsidP="00D57473">
            <w:pPr>
              <w:jc w:val="center"/>
              <w:rPr>
                <w:rFonts w:ascii="Times New Roman" w:eastAsia="Times New Roman" w:hAnsi="Times New Roman"/>
                <w:b/>
                <w:bCs/>
                <w:color w:val="000000"/>
                <w:lang w:val="en-GB" w:eastAsia="en-GB"/>
              </w:rPr>
            </w:pPr>
            <w:r w:rsidRPr="006E43E0">
              <w:rPr>
                <w:rFonts w:ascii="Times New Roman" w:eastAsia="Times New Roman" w:hAnsi="Times New Roman"/>
                <w:b/>
                <w:bCs/>
                <w:color w:val="000000"/>
                <w:lang w:val="en-GB" w:eastAsia="en-GB"/>
              </w:rPr>
              <w:t>Amount (Rs)</w:t>
            </w:r>
          </w:p>
        </w:tc>
        <w:tc>
          <w:tcPr>
            <w:tcW w:w="1236" w:type="dxa"/>
            <w:tcMar>
              <w:bottom w:w="142" w:type="dxa"/>
            </w:tcMar>
            <w:vAlign w:val="bottom"/>
          </w:tcPr>
          <w:p w:rsidR="00870E58" w:rsidRPr="006E43E0" w:rsidRDefault="00870E58" w:rsidP="00D57473">
            <w:pPr>
              <w:jc w:val="center"/>
              <w:rPr>
                <w:rFonts w:ascii="Times New Roman" w:eastAsia="Times New Roman" w:hAnsi="Times New Roman"/>
                <w:b/>
                <w:bCs/>
                <w:color w:val="000000"/>
                <w:lang w:val="en-GB" w:eastAsia="en-GB"/>
              </w:rPr>
            </w:pPr>
            <w:r w:rsidRPr="006E43E0">
              <w:rPr>
                <w:rFonts w:ascii="Times New Roman" w:eastAsia="Times New Roman" w:hAnsi="Times New Roman"/>
                <w:b/>
                <w:bCs/>
                <w:color w:val="000000"/>
                <w:lang w:val="en-GB" w:eastAsia="en-GB"/>
              </w:rPr>
              <w:t>No of Debtors</w:t>
            </w:r>
          </w:p>
        </w:tc>
        <w:tc>
          <w:tcPr>
            <w:tcW w:w="1613" w:type="dxa"/>
            <w:tcMar>
              <w:bottom w:w="142" w:type="dxa"/>
            </w:tcMar>
            <w:vAlign w:val="bottom"/>
          </w:tcPr>
          <w:p w:rsidR="00870E58" w:rsidRPr="006E43E0" w:rsidRDefault="00870E58" w:rsidP="00D57473">
            <w:pPr>
              <w:jc w:val="center"/>
              <w:rPr>
                <w:rFonts w:ascii="Times New Roman" w:eastAsia="Times New Roman" w:hAnsi="Times New Roman"/>
                <w:b/>
                <w:bCs/>
                <w:color w:val="000000"/>
                <w:lang w:val="en-GB" w:eastAsia="en-GB"/>
              </w:rPr>
            </w:pPr>
            <w:r w:rsidRPr="006E43E0">
              <w:rPr>
                <w:rFonts w:ascii="Times New Roman" w:eastAsia="Times New Roman" w:hAnsi="Times New Roman"/>
                <w:b/>
                <w:bCs/>
                <w:color w:val="000000"/>
                <w:lang w:val="en-GB" w:eastAsia="en-GB"/>
              </w:rPr>
              <w:t>Amount (Rs)</w:t>
            </w:r>
          </w:p>
        </w:tc>
      </w:tr>
      <w:tr w:rsidR="00870E58" w:rsidRPr="006E43E0" w:rsidTr="00D57473">
        <w:trPr>
          <w:trHeight w:val="20"/>
          <w:jc w:val="center"/>
        </w:trPr>
        <w:tc>
          <w:tcPr>
            <w:tcW w:w="3179" w:type="dxa"/>
            <w:tcMar>
              <w:bottom w:w="142" w:type="dxa"/>
            </w:tcMar>
          </w:tcPr>
          <w:p w:rsidR="00870E58" w:rsidRPr="006E43E0" w:rsidRDefault="00870E58" w:rsidP="00870E58">
            <w:pPr>
              <w:jc w:val="both"/>
              <w:rPr>
                <w:rFonts w:ascii="Times New Roman" w:hAnsi="Times New Roman"/>
                <w:lang w:val="en-GB"/>
              </w:rPr>
            </w:pPr>
            <w:r w:rsidRPr="006E43E0">
              <w:rPr>
                <w:rFonts w:ascii="Times New Roman" w:eastAsia="Times New Roman" w:hAnsi="Times New Roman"/>
                <w:color w:val="000000"/>
                <w:lang w:val="en-GB" w:eastAsia="en-GB"/>
              </w:rPr>
              <w:t>Arrears of Revenue including cases pending at Supreme Court &amp; Privy Council</w:t>
            </w:r>
          </w:p>
        </w:tc>
        <w:tc>
          <w:tcPr>
            <w:tcW w:w="1100" w:type="dxa"/>
            <w:tcMar>
              <w:bottom w:w="142" w:type="dxa"/>
            </w:tcMar>
            <w:vAlign w:val="bottom"/>
          </w:tcPr>
          <w:p w:rsidR="00870E58" w:rsidRPr="006E43E0" w:rsidRDefault="00870E58" w:rsidP="00D36956">
            <w:pPr>
              <w:ind w:right="70"/>
              <w:jc w:val="right"/>
              <w:rPr>
                <w:rFonts w:ascii="Times New Roman" w:hAnsi="Times New Roman"/>
                <w:lang w:val="en-GB"/>
              </w:rPr>
            </w:pPr>
            <w:r w:rsidRPr="006E43E0">
              <w:rPr>
                <w:rFonts w:ascii="Times New Roman" w:hAnsi="Times New Roman"/>
                <w:lang w:val="en-GB"/>
              </w:rPr>
              <w:t>39,790</w:t>
            </w:r>
          </w:p>
        </w:tc>
        <w:tc>
          <w:tcPr>
            <w:tcW w:w="1509" w:type="dxa"/>
            <w:tcMar>
              <w:bottom w:w="142" w:type="dxa"/>
            </w:tcMar>
            <w:vAlign w:val="bottom"/>
          </w:tcPr>
          <w:p w:rsidR="00870E58" w:rsidRPr="006E43E0" w:rsidRDefault="00870E58" w:rsidP="00870E58">
            <w:pPr>
              <w:jc w:val="right"/>
              <w:rPr>
                <w:rFonts w:ascii="Times New Roman" w:hAnsi="Times New Roman"/>
                <w:lang w:val="en-GB"/>
              </w:rPr>
            </w:pPr>
            <w:r w:rsidRPr="006E43E0">
              <w:rPr>
                <w:rFonts w:ascii="Times New Roman" w:hAnsi="Times New Roman"/>
                <w:lang w:val="en-GB"/>
              </w:rPr>
              <w:t>7,374,003,498</w:t>
            </w:r>
          </w:p>
        </w:tc>
        <w:tc>
          <w:tcPr>
            <w:tcW w:w="1236" w:type="dxa"/>
            <w:tcMar>
              <w:bottom w:w="142" w:type="dxa"/>
            </w:tcMar>
            <w:vAlign w:val="bottom"/>
          </w:tcPr>
          <w:p w:rsidR="00870E58" w:rsidRPr="006E43E0" w:rsidRDefault="00870E58" w:rsidP="00D36956">
            <w:pPr>
              <w:ind w:right="205"/>
              <w:jc w:val="right"/>
              <w:rPr>
                <w:rFonts w:ascii="Times New Roman" w:hAnsi="Times New Roman"/>
                <w:lang w:val="en-GB"/>
              </w:rPr>
            </w:pPr>
            <w:r w:rsidRPr="006E43E0">
              <w:rPr>
                <w:rFonts w:ascii="Times New Roman" w:hAnsi="Times New Roman"/>
                <w:lang w:val="en-GB"/>
              </w:rPr>
              <w:t>N/A</w:t>
            </w:r>
          </w:p>
        </w:tc>
        <w:tc>
          <w:tcPr>
            <w:tcW w:w="1613" w:type="dxa"/>
            <w:tcMar>
              <w:bottom w:w="142" w:type="dxa"/>
            </w:tcMar>
            <w:vAlign w:val="bottom"/>
          </w:tcPr>
          <w:p w:rsidR="00870E58" w:rsidRPr="006E43E0" w:rsidRDefault="00870E58" w:rsidP="00870E58">
            <w:pPr>
              <w:jc w:val="right"/>
              <w:rPr>
                <w:rFonts w:ascii="Times New Roman" w:hAnsi="Times New Roman"/>
                <w:lang w:val="en-GB"/>
              </w:rPr>
            </w:pPr>
            <w:r w:rsidRPr="006E43E0">
              <w:rPr>
                <w:rFonts w:ascii="Times New Roman" w:hAnsi="Times New Roman"/>
                <w:lang w:val="en-GB"/>
              </w:rPr>
              <w:t>N/A</w:t>
            </w:r>
          </w:p>
        </w:tc>
      </w:tr>
      <w:tr w:rsidR="00870E58" w:rsidRPr="006E43E0" w:rsidTr="00D57473">
        <w:trPr>
          <w:trHeight w:val="20"/>
          <w:jc w:val="center"/>
        </w:trPr>
        <w:tc>
          <w:tcPr>
            <w:tcW w:w="3179" w:type="dxa"/>
            <w:tcMar>
              <w:bottom w:w="142" w:type="dxa"/>
            </w:tcMar>
          </w:tcPr>
          <w:p w:rsidR="00870E58" w:rsidRPr="006E43E0" w:rsidRDefault="00870E58" w:rsidP="00870E58">
            <w:pPr>
              <w:jc w:val="both"/>
              <w:rPr>
                <w:rFonts w:ascii="Times New Roman" w:hAnsi="Times New Roman"/>
                <w:lang w:val="en-GB"/>
              </w:rPr>
            </w:pPr>
            <w:r w:rsidRPr="006E43E0">
              <w:rPr>
                <w:rFonts w:ascii="Times New Roman" w:eastAsia="Times New Roman" w:hAnsi="Times New Roman"/>
                <w:color w:val="000000"/>
                <w:lang w:val="en-GB" w:eastAsia="en-GB"/>
              </w:rPr>
              <w:t>Pending under objection</w:t>
            </w:r>
          </w:p>
        </w:tc>
        <w:tc>
          <w:tcPr>
            <w:tcW w:w="1100" w:type="dxa"/>
            <w:tcMar>
              <w:bottom w:w="142" w:type="dxa"/>
            </w:tcMar>
          </w:tcPr>
          <w:p w:rsidR="00870E58" w:rsidRPr="006E43E0" w:rsidRDefault="00870E58" w:rsidP="00D36956">
            <w:pPr>
              <w:ind w:right="70"/>
              <w:jc w:val="right"/>
              <w:rPr>
                <w:rFonts w:ascii="Times New Roman" w:hAnsi="Times New Roman"/>
                <w:lang w:val="en-GB"/>
              </w:rPr>
            </w:pPr>
            <w:r w:rsidRPr="006E43E0">
              <w:rPr>
                <w:rFonts w:ascii="Times New Roman" w:hAnsi="Times New Roman"/>
                <w:lang w:val="en-GB"/>
              </w:rPr>
              <w:t>N/A</w:t>
            </w:r>
          </w:p>
        </w:tc>
        <w:tc>
          <w:tcPr>
            <w:tcW w:w="1509" w:type="dxa"/>
            <w:tcMar>
              <w:bottom w:w="142" w:type="dxa"/>
            </w:tcMar>
          </w:tcPr>
          <w:p w:rsidR="00870E58" w:rsidRPr="006E43E0" w:rsidRDefault="00870E58" w:rsidP="00870E58">
            <w:pPr>
              <w:jc w:val="right"/>
              <w:rPr>
                <w:rFonts w:ascii="Times New Roman" w:hAnsi="Times New Roman"/>
                <w:lang w:val="en-GB"/>
              </w:rPr>
            </w:pPr>
            <w:r w:rsidRPr="006E43E0">
              <w:rPr>
                <w:rFonts w:ascii="Times New Roman" w:hAnsi="Times New Roman"/>
                <w:lang w:val="en-GB"/>
              </w:rPr>
              <w:t>N/A</w:t>
            </w:r>
          </w:p>
        </w:tc>
        <w:tc>
          <w:tcPr>
            <w:tcW w:w="1236" w:type="dxa"/>
            <w:tcMar>
              <w:bottom w:w="142" w:type="dxa"/>
            </w:tcMar>
          </w:tcPr>
          <w:p w:rsidR="00870E58" w:rsidRPr="006E43E0" w:rsidRDefault="00870E58" w:rsidP="00D36956">
            <w:pPr>
              <w:ind w:right="205"/>
              <w:jc w:val="right"/>
              <w:rPr>
                <w:rFonts w:ascii="Times New Roman" w:hAnsi="Times New Roman"/>
                <w:lang w:val="en-GB"/>
              </w:rPr>
            </w:pPr>
            <w:r w:rsidRPr="006E43E0">
              <w:rPr>
                <w:rFonts w:ascii="Times New Roman" w:hAnsi="Times New Roman"/>
                <w:lang w:val="en-GB"/>
              </w:rPr>
              <w:t>660</w:t>
            </w:r>
          </w:p>
        </w:tc>
        <w:tc>
          <w:tcPr>
            <w:tcW w:w="1613" w:type="dxa"/>
            <w:tcMar>
              <w:bottom w:w="142" w:type="dxa"/>
            </w:tcMar>
          </w:tcPr>
          <w:p w:rsidR="00870E58" w:rsidRPr="006E43E0" w:rsidRDefault="00870E58" w:rsidP="00870E58">
            <w:pPr>
              <w:jc w:val="right"/>
              <w:rPr>
                <w:rFonts w:ascii="Times New Roman" w:hAnsi="Times New Roman"/>
                <w:lang w:val="en-GB"/>
              </w:rPr>
            </w:pPr>
            <w:r w:rsidRPr="006E43E0">
              <w:rPr>
                <w:rFonts w:ascii="Times New Roman" w:hAnsi="Times New Roman"/>
                <w:lang w:val="en-GB"/>
              </w:rPr>
              <w:t>4,066,602,846</w:t>
            </w:r>
          </w:p>
        </w:tc>
      </w:tr>
      <w:tr w:rsidR="00870E58" w:rsidRPr="006E43E0" w:rsidTr="00D57473">
        <w:trPr>
          <w:trHeight w:val="20"/>
          <w:jc w:val="center"/>
        </w:trPr>
        <w:tc>
          <w:tcPr>
            <w:tcW w:w="3179" w:type="dxa"/>
            <w:tcMar>
              <w:bottom w:w="142" w:type="dxa"/>
            </w:tcMar>
          </w:tcPr>
          <w:p w:rsidR="00870E58" w:rsidRPr="006E43E0" w:rsidRDefault="00870E58" w:rsidP="00870E58">
            <w:pPr>
              <w:jc w:val="both"/>
              <w:rPr>
                <w:rFonts w:ascii="Times New Roman" w:hAnsi="Times New Roman"/>
                <w:lang w:val="en-GB"/>
              </w:rPr>
            </w:pPr>
            <w:r w:rsidRPr="006E43E0">
              <w:rPr>
                <w:rFonts w:ascii="Times New Roman" w:eastAsia="Times New Roman" w:hAnsi="Times New Roman"/>
                <w:color w:val="000000"/>
                <w:lang w:val="en-GB" w:eastAsia="en-GB"/>
              </w:rPr>
              <w:t>Pending at ARC</w:t>
            </w:r>
          </w:p>
        </w:tc>
        <w:tc>
          <w:tcPr>
            <w:tcW w:w="1100" w:type="dxa"/>
            <w:tcMar>
              <w:bottom w:w="142" w:type="dxa"/>
            </w:tcMar>
          </w:tcPr>
          <w:p w:rsidR="00870E58" w:rsidRPr="006E43E0" w:rsidRDefault="00870E58" w:rsidP="00D36956">
            <w:pPr>
              <w:ind w:right="70"/>
              <w:jc w:val="right"/>
              <w:rPr>
                <w:rFonts w:ascii="Times New Roman" w:hAnsi="Times New Roman"/>
                <w:lang w:val="en-GB"/>
              </w:rPr>
            </w:pPr>
            <w:r w:rsidRPr="006E43E0">
              <w:rPr>
                <w:rFonts w:ascii="Times New Roman" w:hAnsi="Times New Roman"/>
                <w:lang w:val="en-GB"/>
              </w:rPr>
              <w:t>N/A</w:t>
            </w:r>
          </w:p>
        </w:tc>
        <w:tc>
          <w:tcPr>
            <w:tcW w:w="1509" w:type="dxa"/>
            <w:tcMar>
              <w:bottom w:w="142" w:type="dxa"/>
            </w:tcMar>
          </w:tcPr>
          <w:p w:rsidR="00870E58" w:rsidRPr="006E43E0" w:rsidRDefault="00870E58" w:rsidP="00870E58">
            <w:pPr>
              <w:jc w:val="right"/>
              <w:rPr>
                <w:rFonts w:ascii="Times New Roman" w:hAnsi="Times New Roman"/>
                <w:lang w:val="en-GB"/>
              </w:rPr>
            </w:pPr>
            <w:r w:rsidRPr="006E43E0">
              <w:rPr>
                <w:rFonts w:ascii="Times New Roman" w:hAnsi="Times New Roman"/>
                <w:lang w:val="en-GB"/>
              </w:rPr>
              <w:t>N/A</w:t>
            </w:r>
          </w:p>
        </w:tc>
        <w:tc>
          <w:tcPr>
            <w:tcW w:w="1236" w:type="dxa"/>
            <w:tcMar>
              <w:bottom w:w="142" w:type="dxa"/>
            </w:tcMar>
          </w:tcPr>
          <w:p w:rsidR="00870E58" w:rsidRPr="006E43E0" w:rsidRDefault="00870E58" w:rsidP="00D36956">
            <w:pPr>
              <w:ind w:right="205"/>
              <w:jc w:val="right"/>
              <w:rPr>
                <w:rFonts w:ascii="Times New Roman" w:hAnsi="Times New Roman"/>
                <w:lang w:val="en-GB"/>
              </w:rPr>
            </w:pPr>
            <w:r w:rsidRPr="006E43E0">
              <w:rPr>
                <w:rFonts w:ascii="Times New Roman" w:hAnsi="Times New Roman"/>
                <w:lang w:val="en-GB"/>
              </w:rPr>
              <w:t>1,410</w:t>
            </w:r>
          </w:p>
        </w:tc>
        <w:tc>
          <w:tcPr>
            <w:tcW w:w="1613" w:type="dxa"/>
            <w:tcMar>
              <w:bottom w:w="142" w:type="dxa"/>
            </w:tcMar>
          </w:tcPr>
          <w:p w:rsidR="00870E58" w:rsidRPr="006E43E0" w:rsidRDefault="00870E58" w:rsidP="00870E58">
            <w:pPr>
              <w:jc w:val="right"/>
              <w:rPr>
                <w:rFonts w:ascii="Times New Roman" w:hAnsi="Times New Roman"/>
                <w:lang w:val="en-GB"/>
              </w:rPr>
            </w:pPr>
            <w:r w:rsidRPr="006E43E0">
              <w:rPr>
                <w:rFonts w:ascii="Times New Roman" w:hAnsi="Times New Roman"/>
                <w:lang w:val="en-GB"/>
              </w:rPr>
              <w:t>10,345,245,038</w:t>
            </w:r>
          </w:p>
        </w:tc>
      </w:tr>
      <w:tr w:rsidR="00870E58" w:rsidRPr="006E43E0" w:rsidTr="00D57473">
        <w:trPr>
          <w:trHeight w:val="20"/>
          <w:jc w:val="center"/>
        </w:trPr>
        <w:tc>
          <w:tcPr>
            <w:tcW w:w="3179" w:type="dxa"/>
            <w:tcMar>
              <w:bottom w:w="142" w:type="dxa"/>
            </w:tcMar>
          </w:tcPr>
          <w:p w:rsidR="00870E58" w:rsidRPr="006E43E0" w:rsidRDefault="00870E58" w:rsidP="00870E58">
            <w:pPr>
              <w:jc w:val="both"/>
              <w:rPr>
                <w:rFonts w:ascii="Times New Roman" w:hAnsi="Times New Roman"/>
                <w:lang w:val="en-GB"/>
              </w:rPr>
            </w:pPr>
            <w:r w:rsidRPr="006E43E0">
              <w:rPr>
                <w:rFonts w:ascii="Times New Roman" w:eastAsia="Times New Roman" w:hAnsi="Times New Roman"/>
                <w:color w:val="000000"/>
                <w:lang w:val="en-GB" w:eastAsia="en-GB"/>
              </w:rPr>
              <w:t>“Sum otherwise not Due”</w:t>
            </w:r>
          </w:p>
        </w:tc>
        <w:tc>
          <w:tcPr>
            <w:tcW w:w="1100" w:type="dxa"/>
            <w:tcMar>
              <w:bottom w:w="142" w:type="dxa"/>
            </w:tcMar>
          </w:tcPr>
          <w:p w:rsidR="00870E58" w:rsidRPr="006E43E0" w:rsidRDefault="00870E58" w:rsidP="00D36956">
            <w:pPr>
              <w:ind w:right="70"/>
              <w:jc w:val="right"/>
              <w:rPr>
                <w:rFonts w:ascii="Times New Roman" w:hAnsi="Times New Roman"/>
                <w:lang w:val="en-GB"/>
              </w:rPr>
            </w:pPr>
            <w:r w:rsidRPr="006E43E0">
              <w:rPr>
                <w:rFonts w:ascii="Times New Roman" w:hAnsi="Times New Roman"/>
                <w:lang w:val="en-GB"/>
              </w:rPr>
              <w:t>N/A</w:t>
            </w:r>
          </w:p>
        </w:tc>
        <w:tc>
          <w:tcPr>
            <w:tcW w:w="1509" w:type="dxa"/>
            <w:tcMar>
              <w:bottom w:w="142" w:type="dxa"/>
            </w:tcMar>
          </w:tcPr>
          <w:p w:rsidR="00870E58" w:rsidRPr="006E43E0" w:rsidRDefault="00870E58" w:rsidP="00870E58">
            <w:pPr>
              <w:jc w:val="right"/>
              <w:rPr>
                <w:rFonts w:ascii="Times New Roman" w:hAnsi="Times New Roman"/>
                <w:lang w:val="en-GB"/>
              </w:rPr>
            </w:pPr>
            <w:r w:rsidRPr="006E43E0">
              <w:rPr>
                <w:rFonts w:ascii="Times New Roman" w:hAnsi="Times New Roman"/>
                <w:lang w:val="en-GB"/>
              </w:rPr>
              <w:t>N/A</w:t>
            </w:r>
          </w:p>
        </w:tc>
        <w:tc>
          <w:tcPr>
            <w:tcW w:w="1236" w:type="dxa"/>
            <w:tcMar>
              <w:bottom w:w="142" w:type="dxa"/>
            </w:tcMar>
          </w:tcPr>
          <w:p w:rsidR="00870E58" w:rsidRPr="006E43E0" w:rsidRDefault="00870E58" w:rsidP="00D36956">
            <w:pPr>
              <w:ind w:right="205"/>
              <w:jc w:val="right"/>
              <w:rPr>
                <w:rFonts w:ascii="Times New Roman" w:hAnsi="Times New Roman"/>
                <w:lang w:val="en-GB"/>
              </w:rPr>
            </w:pPr>
            <w:r w:rsidRPr="006E43E0">
              <w:rPr>
                <w:rFonts w:ascii="Times New Roman" w:hAnsi="Times New Roman"/>
                <w:lang w:val="en-GB"/>
              </w:rPr>
              <w:t>1,099</w:t>
            </w:r>
          </w:p>
        </w:tc>
        <w:tc>
          <w:tcPr>
            <w:tcW w:w="1613" w:type="dxa"/>
            <w:tcMar>
              <w:bottom w:w="142" w:type="dxa"/>
            </w:tcMar>
          </w:tcPr>
          <w:p w:rsidR="00870E58" w:rsidRPr="006E43E0" w:rsidRDefault="00870E58" w:rsidP="00D57473">
            <w:pPr>
              <w:jc w:val="right"/>
              <w:rPr>
                <w:rFonts w:ascii="Times New Roman" w:hAnsi="Times New Roman"/>
                <w:lang w:val="en-GB"/>
              </w:rPr>
            </w:pPr>
            <w:r w:rsidRPr="006E43E0">
              <w:rPr>
                <w:rFonts w:ascii="Times New Roman" w:hAnsi="Times New Roman"/>
                <w:lang w:val="en-GB"/>
              </w:rPr>
              <w:t>1,025,022,134</w:t>
            </w:r>
          </w:p>
        </w:tc>
      </w:tr>
      <w:tr w:rsidR="00870E58" w:rsidRPr="006E43E0" w:rsidTr="00D57473">
        <w:trPr>
          <w:trHeight w:val="20"/>
          <w:jc w:val="center"/>
        </w:trPr>
        <w:tc>
          <w:tcPr>
            <w:tcW w:w="3179" w:type="dxa"/>
            <w:tcMar>
              <w:bottom w:w="0" w:type="dxa"/>
            </w:tcMar>
          </w:tcPr>
          <w:p w:rsidR="00870E58" w:rsidRPr="006E43E0" w:rsidRDefault="00870E58" w:rsidP="00870E58">
            <w:pPr>
              <w:jc w:val="both"/>
              <w:rPr>
                <w:rFonts w:ascii="Times New Roman" w:hAnsi="Times New Roman"/>
                <w:lang w:val="en-GB"/>
              </w:rPr>
            </w:pPr>
            <w:r w:rsidRPr="006E43E0">
              <w:rPr>
                <w:rFonts w:ascii="Times New Roman" w:eastAsia="Times New Roman" w:hAnsi="Times New Roman"/>
                <w:b/>
                <w:bCs/>
                <w:color w:val="000000"/>
                <w:lang w:val="en-GB" w:eastAsia="en-GB"/>
              </w:rPr>
              <w:t>Total Book Balances</w:t>
            </w:r>
          </w:p>
        </w:tc>
        <w:tc>
          <w:tcPr>
            <w:tcW w:w="1100" w:type="dxa"/>
            <w:tcMar>
              <w:bottom w:w="0" w:type="dxa"/>
            </w:tcMar>
          </w:tcPr>
          <w:p w:rsidR="00870E58" w:rsidRPr="006E43E0" w:rsidRDefault="00870E58" w:rsidP="00D36956">
            <w:pPr>
              <w:ind w:right="70"/>
              <w:jc w:val="right"/>
              <w:rPr>
                <w:rFonts w:ascii="Times New Roman" w:hAnsi="Times New Roman"/>
                <w:b/>
                <w:lang w:val="en-GB"/>
              </w:rPr>
            </w:pPr>
            <w:r w:rsidRPr="006E43E0">
              <w:rPr>
                <w:rFonts w:ascii="Times New Roman" w:hAnsi="Times New Roman"/>
                <w:b/>
                <w:lang w:val="en-GB"/>
              </w:rPr>
              <w:t>39,790</w:t>
            </w:r>
          </w:p>
        </w:tc>
        <w:tc>
          <w:tcPr>
            <w:tcW w:w="1509" w:type="dxa"/>
            <w:tcMar>
              <w:bottom w:w="0" w:type="dxa"/>
            </w:tcMar>
          </w:tcPr>
          <w:p w:rsidR="00870E58" w:rsidRPr="006E43E0" w:rsidRDefault="00870E58" w:rsidP="00870E58">
            <w:pPr>
              <w:jc w:val="right"/>
              <w:rPr>
                <w:rFonts w:ascii="Times New Roman" w:hAnsi="Times New Roman"/>
                <w:b/>
                <w:lang w:val="en-GB"/>
              </w:rPr>
            </w:pPr>
            <w:r w:rsidRPr="006E43E0">
              <w:rPr>
                <w:rFonts w:ascii="Times New Roman" w:hAnsi="Times New Roman"/>
                <w:b/>
                <w:lang w:val="en-GB"/>
              </w:rPr>
              <w:t>7,374,003,498</w:t>
            </w:r>
          </w:p>
        </w:tc>
        <w:tc>
          <w:tcPr>
            <w:tcW w:w="1236" w:type="dxa"/>
            <w:tcMar>
              <w:bottom w:w="0" w:type="dxa"/>
            </w:tcMar>
          </w:tcPr>
          <w:p w:rsidR="00870E58" w:rsidRPr="006E43E0" w:rsidRDefault="00870E58" w:rsidP="00D36956">
            <w:pPr>
              <w:ind w:right="205"/>
              <w:jc w:val="right"/>
              <w:rPr>
                <w:rFonts w:ascii="Times New Roman" w:hAnsi="Times New Roman"/>
                <w:b/>
                <w:lang w:val="en-GB"/>
              </w:rPr>
            </w:pPr>
            <w:r w:rsidRPr="006E43E0">
              <w:rPr>
                <w:rFonts w:ascii="Times New Roman" w:hAnsi="Times New Roman"/>
                <w:b/>
                <w:lang w:val="en-GB"/>
              </w:rPr>
              <w:t>3,169</w:t>
            </w:r>
          </w:p>
        </w:tc>
        <w:tc>
          <w:tcPr>
            <w:tcW w:w="1613" w:type="dxa"/>
            <w:tcMar>
              <w:bottom w:w="0" w:type="dxa"/>
            </w:tcMar>
          </w:tcPr>
          <w:p w:rsidR="00870E58" w:rsidRPr="006E43E0" w:rsidRDefault="00870E58" w:rsidP="00D57473">
            <w:pPr>
              <w:jc w:val="right"/>
              <w:rPr>
                <w:rFonts w:ascii="Times New Roman" w:hAnsi="Times New Roman"/>
                <w:b/>
                <w:lang w:val="en-GB"/>
              </w:rPr>
            </w:pPr>
            <w:r w:rsidRPr="006E43E0">
              <w:rPr>
                <w:rFonts w:ascii="Times New Roman" w:hAnsi="Times New Roman"/>
                <w:b/>
                <w:lang w:val="en-GB"/>
              </w:rPr>
              <w:t>15,436,870,018</w:t>
            </w:r>
          </w:p>
        </w:tc>
      </w:tr>
    </w:tbl>
    <w:p w:rsidR="00D57473" w:rsidRDefault="00D57473" w:rsidP="00D57473">
      <w:pPr>
        <w:pBdr>
          <w:bottom w:val="single" w:sz="4" w:space="1" w:color="auto"/>
        </w:pBdr>
        <w:spacing w:after="0" w:line="240" w:lineRule="auto"/>
        <w:contextualSpacing/>
        <w:rPr>
          <w:rFonts w:eastAsia="HelveticaNeueLT Std"/>
          <w:i/>
          <w:sz w:val="20"/>
          <w:szCs w:val="20"/>
        </w:rPr>
      </w:pPr>
    </w:p>
    <w:p w:rsidR="00870E58" w:rsidRPr="00870E58" w:rsidRDefault="00870E58" w:rsidP="00D36956">
      <w:pPr>
        <w:spacing w:after="0" w:line="240" w:lineRule="auto"/>
        <w:contextualSpacing/>
        <w:rPr>
          <w:i/>
          <w:sz w:val="20"/>
          <w:szCs w:val="20"/>
          <w:lang w:val="en-GB"/>
        </w:rPr>
      </w:pPr>
      <w:r w:rsidRPr="00870E58">
        <w:rPr>
          <w:rFonts w:eastAsia="HelveticaNeueLT Std"/>
          <w:i/>
          <w:sz w:val="20"/>
          <w:szCs w:val="20"/>
        </w:rPr>
        <w:t xml:space="preserve">Source: Statement of Arrears of Revenue submitted to Accountant General </w:t>
      </w:r>
    </w:p>
    <w:p w:rsidR="00870E58" w:rsidRPr="00870E58" w:rsidRDefault="00870E58" w:rsidP="00D36956">
      <w:pPr>
        <w:spacing w:after="0" w:line="240" w:lineRule="auto"/>
        <w:contextualSpacing/>
        <w:jc w:val="both"/>
        <w:rPr>
          <w:szCs w:val="24"/>
          <w:lang w:val="en-GB"/>
        </w:rPr>
      </w:pPr>
    </w:p>
    <w:p w:rsidR="00870E58" w:rsidRPr="00870E58" w:rsidRDefault="00870E58" w:rsidP="00D36956">
      <w:pPr>
        <w:autoSpaceDE w:val="0"/>
        <w:autoSpaceDN w:val="0"/>
        <w:adjustRightInd w:val="0"/>
        <w:spacing w:after="0" w:line="240" w:lineRule="auto"/>
        <w:contextualSpacing/>
        <w:jc w:val="both"/>
        <w:rPr>
          <w:rFonts w:eastAsia="Times New Roman"/>
          <w:szCs w:val="24"/>
          <w:bdr w:val="none" w:sz="0" w:space="0" w:color="auto" w:frame="1"/>
        </w:rPr>
      </w:pPr>
      <w:r w:rsidRPr="00870E58">
        <w:rPr>
          <w:rFonts w:eastAsia="Times New Roman"/>
          <w:szCs w:val="24"/>
          <w:bdr w:val="none" w:sz="0" w:space="0" w:color="auto" w:frame="1"/>
        </w:rPr>
        <w:t>The total disputed amount of Non-Collectible Debts, of some Rs 14.4 billion</w:t>
      </w:r>
      <w:r w:rsidRPr="00870E58">
        <w:rPr>
          <w:rFonts w:eastAsia="Times New Roman"/>
          <w:b/>
          <w:szCs w:val="24"/>
          <w:bdr w:val="none" w:sz="0" w:space="0" w:color="auto" w:frame="1"/>
        </w:rPr>
        <w:t xml:space="preserve"> </w:t>
      </w:r>
      <w:r w:rsidRPr="00870E58">
        <w:rPr>
          <w:rFonts w:eastAsia="Times New Roman"/>
          <w:szCs w:val="24"/>
          <w:bdr w:val="none" w:sz="0" w:space="0" w:color="auto" w:frame="1"/>
        </w:rPr>
        <w:t>subject to Objection and ARC, is fairly substantial and represents nearly twice the Collectible Debts.</w:t>
      </w:r>
    </w:p>
    <w:p w:rsidR="00870E58" w:rsidRPr="00870E58" w:rsidRDefault="00870E58" w:rsidP="00D36956">
      <w:pPr>
        <w:autoSpaceDE w:val="0"/>
        <w:autoSpaceDN w:val="0"/>
        <w:adjustRightInd w:val="0"/>
        <w:spacing w:after="0" w:line="240" w:lineRule="auto"/>
        <w:contextualSpacing/>
        <w:jc w:val="both"/>
        <w:rPr>
          <w:rFonts w:eastAsia="Times New Roman"/>
          <w:szCs w:val="24"/>
          <w:bdr w:val="none" w:sz="0" w:space="0" w:color="auto" w:frame="1"/>
        </w:rPr>
      </w:pPr>
    </w:p>
    <w:p w:rsidR="00870E58" w:rsidRDefault="00151572" w:rsidP="00D36956">
      <w:pPr>
        <w:spacing w:after="0" w:line="240" w:lineRule="auto"/>
        <w:jc w:val="both"/>
        <w:rPr>
          <w:szCs w:val="24"/>
          <w:lang w:val="en-GB"/>
        </w:rPr>
      </w:pPr>
      <w:r>
        <w:rPr>
          <w:szCs w:val="24"/>
          <w:lang w:val="en-GB"/>
        </w:rPr>
        <w:t xml:space="preserve">67 per cent of the total of ‘non-collectible’ debts were </w:t>
      </w:r>
      <w:r w:rsidR="0095055A">
        <w:rPr>
          <w:szCs w:val="24"/>
          <w:lang w:val="en-GB"/>
        </w:rPr>
        <w:t xml:space="preserve">in respect of 3,065 cases </w:t>
      </w:r>
      <w:r>
        <w:rPr>
          <w:szCs w:val="24"/>
          <w:lang w:val="en-GB"/>
        </w:rPr>
        <w:t>lod</w:t>
      </w:r>
      <w:r w:rsidR="0095055A">
        <w:rPr>
          <w:szCs w:val="24"/>
          <w:lang w:val="en-GB"/>
        </w:rPr>
        <w:t>ged at the ARC by 1,410 debtors.</w:t>
      </w:r>
    </w:p>
    <w:p w:rsidR="00D36956" w:rsidRDefault="00D36956" w:rsidP="00D36956">
      <w:pPr>
        <w:spacing w:after="0" w:line="240" w:lineRule="auto"/>
        <w:jc w:val="both"/>
        <w:rPr>
          <w:szCs w:val="24"/>
          <w:lang w:val="en-GB"/>
        </w:rPr>
      </w:pPr>
    </w:p>
    <w:p w:rsidR="00151572" w:rsidRDefault="00151572">
      <w:pPr>
        <w:rPr>
          <w:szCs w:val="24"/>
          <w:lang w:val="en-GB"/>
        </w:rPr>
      </w:pPr>
      <w:r>
        <w:rPr>
          <w:szCs w:val="24"/>
          <w:lang w:val="en-GB"/>
        </w:rPr>
        <w:br w:type="page"/>
      </w:r>
    </w:p>
    <w:p w:rsidR="00870E58" w:rsidRPr="00870E58" w:rsidRDefault="00D36956" w:rsidP="00D36956">
      <w:pPr>
        <w:spacing w:after="0" w:line="240" w:lineRule="auto"/>
        <w:jc w:val="both"/>
        <w:rPr>
          <w:b/>
          <w:i/>
          <w:szCs w:val="24"/>
          <w:lang w:val="en-GB"/>
        </w:rPr>
      </w:pPr>
      <w:r>
        <w:rPr>
          <w:b/>
          <w:i/>
          <w:szCs w:val="24"/>
          <w:lang w:val="en-GB"/>
        </w:rPr>
        <w:lastRenderedPageBreak/>
        <w:t>6.4</w:t>
      </w:r>
      <w:r w:rsidR="00870E58" w:rsidRPr="00870E58">
        <w:rPr>
          <w:b/>
          <w:i/>
          <w:szCs w:val="24"/>
          <w:lang w:val="en-GB"/>
        </w:rPr>
        <w:t>.1</w:t>
      </w:r>
      <w:r w:rsidR="00870E58" w:rsidRPr="00870E58">
        <w:rPr>
          <w:b/>
          <w:i/>
          <w:szCs w:val="24"/>
          <w:lang w:val="en-GB"/>
        </w:rPr>
        <w:tab/>
        <w:t>Cases at the Assessment Review Committee</w:t>
      </w:r>
    </w:p>
    <w:p w:rsidR="00D36956" w:rsidRDefault="00D36956" w:rsidP="00D36956">
      <w:pPr>
        <w:autoSpaceDE w:val="0"/>
        <w:autoSpaceDN w:val="0"/>
        <w:adjustRightInd w:val="0"/>
        <w:spacing w:after="0" w:line="240" w:lineRule="auto"/>
        <w:jc w:val="both"/>
        <w:rPr>
          <w:bCs/>
          <w:szCs w:val="24"/>
          <w:lang w:val="en-GB"/>
        </w:rPr>
      </w:pPr>
    </w:p>
    <w:p w:rsidR="00870E58" w:rsidRPr="00870E58" w:rsidRDefault="00870E58" w:rsidP="00D36956">
      <w:pPr>
        <w:autoSpaceDE w:val="0"/>
        <w:autoSpaceDN w:val="0"/>
        <w:adjustRightInd w:val="0"/>
        <w:spacing w:after="0" w:line="240" w:lineRule="auto"/>
        <w:jc w:val="both"/>
        <w:rPr>
          <w:szCs w:val="24"/>
          <w:lang w:val="en-GB"/>
        </w:rPr>
      </w:pPr>
      <w:r w:rsidRPr="00870E58">
        <w:rPr>
          <w:bCs/>
          <w:szCs w:val="24"/>
          <w:lang w:val="en-GB"/>
        </w:rPr>
        <w:t>The MRA Act stipulates, amongst others, that</w:t>
      </w:r>
      <w:r w:rsidRPr="00870E58">
        <w:rPr>
          <w:b/>
          <w:bCs/>
          <w:szCs w:val="24"/>
          <w:lang w:val="en-GB"/>
        </w:rPr>
        <w:t xml:space="preserve"> </w:t>
      </w:r>
      <w:r w:rsidRPr="00870E58">
        <w:rPr>
          <w:szCs w:val="24"/>
          <w:lang w:val="en-GB"/>
        </w:rPr>
        <w:t xml:space="preserve">any person who is aggrieved by a decision, determination, notice or claim may within a period of 28 days, lodge with the ARC, written representations, specifying the reasons for asking for a review. </w:t>
      </w:r>
    </w:p>
    <w:p w:rsidR="00870E58" w:rsidRPr="00870E58" w:rsidRDefault="00870E58" w:rsidP="00D36956">
      <w:pPr>
        <w:autoSpaceDE w:val="0"/>
        <w:autoSpaceDN w:val="0"/>
        <w:adjustRightInd w:val="0"/>
        <w:spacing w:after="0" w:line="240" w:lineRule="auto"/>
        <w:jc w:val="both"/>
        <w:rPr>
          <w:szCs w:val="24"/>
          <w:lang w:val="en-GB"/>
        </w:rPr>
      </w:pPr>
      <w:r w:rsidRPr="00870E58">
        <w:rPr>
          <w:szCs w:val="24"/>
          <w:lang w:val="en-GB"/>
        </w:rPr>
        <w:t xml:space="preserve"> </w:t>
      </w:r>
    </w:p>
    <w:p w:rsidR="00870E58" w:rsidRPr="00870E58" w:rsidRDefault="00870E58" w:rsidP="00D36956">
      <w:pPr>
        <w:autoSpaceDE w:val="0"/>
        <w:autoSpaceDN w:val="0"/>
        <w:adjustRightInd w:val="0"/>
        <w:spacing w:after="0" w:line="240" w:lineRule="auto"/>
        <w:jc w:val="both"/>
        <w:rPr>
          <w:szCs w:val="24"/>
          <w:lang w:val="en-GB"/>
        </w:rPr>
      </w:pPr>
      <w:r w:rsidRPr="00870E58">
        <w:rPr>
          <w:szCs w:val="24"/>
          <w:lang w:val="en-GB"/>
        </w:rPr>
        <w:t>The Act also provides that the representations made by an aggrieved person shall be dealt with as expeditiously as possible and a panel shall endeavour to f</w:t>
      </w:r>
      <w:r w:rsidR="00151572">
        <w:rPr>
          <w:szCs w:val="24"/>
          <w:lang w:val="en-GB"/>
        </w:rPr>
        <w:t>ix the case for hearing within six</w:t>
      </w:r>
      <w:r w:rsidRPr="00870E58">
        <w:rPr>
          <w:szCs w:val="24"/>
          <w:lang w:val="en-GB"/>
        </w:rPr>
        <w:t xml:space="preserve"> months from the date the representations were lodged; and to give its decision on the</w:t>
      </w:r>
      <w:r w:rsidR="00151572">
        <w:rPr>
          <w:szCs w:val="24"/>
          <w:lang w:val="en-GB"/>
        </w:rPr>
        <w:t xml:space="preserve"> representations no later than eight</w:t>
      </w:r>
      <w:r w:rsidRPr="00870E58">
        <w:rPr>
          <w:szCs w:val="24"/>
          <w:lang w:val="en-GB"/>
        </w:rPr>
        <w:t xml:space="preserve"> weeks from the start of the hearing.</w:t>
      </w:r>
    </w:p>
    <w:p w:rsidR="00870E58" w:rsidRPr="00870E58" w:rsidRDefault="00870E58" w:rsidP="00D36956">
      <w:pPr>
        <w:autoSpaceDE w:val="0"/>
        <w:autoSpaceDN w:val="0"/>
        <w:adjustRightInd w:val="0"/>
        <w:spacing w:after="0" w:line="240" w:lineRule="auto"/>
        <w:jc w:val="both"/>
        <w:rPr>
          <w:szCs w:val="24"/>
        </w:rPr>
      </w:pPr>
    </w:p>
    <w:p w:rsidR="00870E58" w:rsidRPr="00870E58" w:rsidRDefault="00870E58" w:rsidP="00D36956">
      <w:pPr>
        <w:autoSpaceDE w:val="0"/>
        <w:autoSpaceDN w:val="0"/>
        <w:adjustRightInd w:val="0"/>
        <w:spacing w:after="0" w:line="240" w:lineRule="auto"/>
        <w:jc w:val="both"/>
        <w:rPr>
          <w:szCs w:val="24"/>
        </w:rPr>
      </w:pPr>
      <w:r w:rsidRPr="00870E58">
        <w:rPr>
          <w:szCs w:val="24"/>
        </w:rPr>
        <w:t>However, an age analysis of cases at ARC as at 30 June 2017 showed that cases were not being determined within the prescribed time limit.</w:t>
      </w:r>
      <w:r w:rsidR="003C3E99">
        <w:rPr>
          <w:szCs w:val="24"/>
        </w:rPr>
        <w:t xml:space="preserve"> </w:t>
      </w:r>
      <w:r w:rsidR="00151572">
        <w:rPr>
          <w:szCs w:val="24"/>
        </w:rPr>
        <w:t>As shown in Table 6-5</w:t>
      </w:r>
      <w:r w:rsidRPr="00870E58">
        <w:rPr>
          <w:szCs w:val="24"/>
        </w:rPr>
        <w:t>, 1,436 cases for an amount of Rs 5,913,400,002 were lodged at the ARC prior to 2016.</w:t>
      </w:r>
      <w:r w:rsidR="003C3E99">
        <w:rPr>
          <w:szCs w:val="24"/>
        </w:rPr>
        <w:t xml:space="preserve"> </w:t>
      </w:r>
      <w:r w:rsidRPr="00870E58">
        <w:rPr>
          <w:szCs w:val="24"/>
        </w:rPr>
        <w:t>This represented 57 per cent of the total assessed amount, pending at the ARC as at 30 June 2017.</w:t>
      </w:r>
    </w:p>
    <w:p w:rsidR="00870E58" w:rsidRPr="00870E58" w:rsidRDefault="00870E58" w:rsidP="00D36956">
      <w:pPr>
        <w:autoSpaceDE w:val="0"/>
        <w:autoSpaceDN w:val="0"/>
        <w:adjustRightInd w:val="0"/>
        <w:spacing w:after="0" w:line="240" w:lineRule="auto"/>
        <w:rPr>
          <w:szCs w:val="24"/>
        </w:rPr>
      </w:pPr>
    </w:p>
    <w:p w:rsidR="00870E58" w:rsidRDefault="00870E58" w:rsidP="00D36956">
      <w:pPr>
        <w:autoSpaceDE w:val="0"/>
        <w:autoSpaceDN w:val="0"/>
        <w:adjustRightInd w:val="0"/>
        <w:spacing w:after="0" w:line="240" w:lineRule="auto"/>
        <w:ind w:left="360"/>
        <w:jc w:val="center"/>
        <w:rPr>
          <w:i/>
          <w:szCs w:val="24"/>
        </w:rPr>
      </w:pPr>
      <w:r w:rsidRPr="00870E58">
        <w:rPr>
          <w:i/>
          <w:szCs w:val="24"/>
        </w:rPr>
        <w:t xml:space="preserve">Table </w:t>
      </w:r>
      <w:bookmarkStart w:id="5" w:name="_Hlk507249979"/>
      <w:r w:rsidR="00D36956">
        <w:rPr>
          <w:i/>
          <w:szCs w:val="24"/>
        </w:rPr>
        <w:t>6-</w:t>
      </w:r>
      <w:proofErr w:type="gramStart"/>
      <w:r w:rsidR="00D36956">
        <w:rPr>
          <w:i/>
          <w:szCs w:val="24"/>
        </w:rPr>
        <w:t>5</w:t>
      </w:r>
      <w:r w:rsidR="00D57473">
        <w:rPr>
          <w:i/>
          <w:szCs w:val="24"/>
        </w:rPr>
        <w:t xml:space="preserve">  </w:t>
      </w:r>
      <w:r w:rsidRPr="00870E58">
        <w:rPr>
          <w:i/>
          <w:szCs w:val="24"/>
        </w:rPr>
        <w:t>Age</w:t>
      </w:r>
      <w:proofErr w:type="gramEnd"/>
      <w:r w:rsidRPr="00870E58">
        <w:rPr>
          <w:i/>
          <w:szCs w:val="24"/>
        </w:rPr>
        <w:t xml:space="preserve"> Analysis of Cases Pending at ARC</w:t>
      </w:r>
      <w:bookmarkEnd w:id="5"/>
    </w:p>
    <w:p w:rsidR="003C3E99" w:rsidRPr="00870E58" w:rsidRDefault="003C3E99" w:rsidP="00D36956">
      <w:pPr>
        <w:autoSpaceDE w:val="0"/>
        <w:autoSpaceDN w:val="0"/>
        <w:adjustRightInd w:val="0"/>
        <w:spacing w:after="0" w:line="240" w:lineRule="auto"/>
        <w:ind w:left="360"/>
        <w:jc w:val="center"/>
        <w:rPr>
          <w:i/>
          <w:szCs w:val="24"/>
        </w:rPr>
      </w:pPr>
    </w:p>
    <w:p w:rsidR="00D36956" w:rsidRPr="00870E58" w:rsidRDefault="00D36956" w:rsidP="00D57473">
      <w:pPr>
        <w:pBdr>
          <w:top w:val="single" w:sz="4" w:space="1" w:color="auto"/>
        </w:pBdr>
        <w:autoSpaceDE w:val="0"/>
        <w:autoSpaceDN w:val="0"/>
        <w:adjustRightInd w:val="0"/>
        <w:spacing w:after="0" w:line="240" w:lineRule="auto"/>
        <w:jc w:val="center"/>
        <w:rPr>
          <w:i/>
          <w:szCs w:val="24"/>
        </w:rPr>
      </w:pPr>
    </w:p>
    <w:tbl>
      <w:tblPr>
        <w:tblW w:w="5963" w:type="dxa"/>
        <w:jc w:val="center"/>
        <w:tblLook w:val="04A0" w:firstRow="1" w:lastRow="0" w:firstColumn="1" w:lastColumn="0" w:noHBand="0" w:noVBand="1"/>
      </w:tblPr>
      <w:tblGrid>
        <w:gridCol w:w="2046"/>
        <w:gridCol w:w="1180"/>
        <w:gridCol w:w="2019"/>
        <w:gridCol w:w="718"/>
      </w:tblGrid>
      <w:tr w:rsidR="00870E58" w:rsidRPr="00870E58" w:rsidTr="00EF4D3F">
        <w:trPr>
          <w:trHeight w:val="20"/>
          <w:jc w:val="center"/>
        </w:trPr>
        <w:tc>
          <w:tcPr>
            <w:tcW w:w="2046" w:type="dxa"/>
            <w:shd w:val="clear" w:color="auto" w:fill="auto"/>
            <w:noWrap/>
            <w:tcMar>
              <w:bottom w:w="142" w:type="dxa"/>
            </w:tcMar>
          </w:tcPr>
          <w:p w:rsidR="00870E58" w:rsidRPr="00870E58" w:rsidRDefault="00870E58" w:rsidP="00EF4D3F">
            <w:pPr>
              <w:spacing w:after="0" w:line="240" w:lineRule="auto"/>
              <w:rPr>
                <w:rFonts w:eastAsia="Times New Roman"/>
                <w:b/>
                <w:bCs/>
                <w:color w:val="000000"/>
                <w:sz w:val="22"/>
                <w:lang w:val="en-GB" w:eastAsia="en-GB"/>
              </w:rPr>
            </w:pPr>
            <w:r w:rsidRPr="00870E58">
              <w:rPr>
                <w:rFonts w:eastAsia="Times New Roman"/>
                <w:b/>
                <w:bCs/>
                <w:color w:val="000000"/>
                <w:sz w:val="22"/>
                <w:lang w:val="en-GB" w:eastAsia="en-GB"/>
              </w:rPr>
              <w:t>Period Lodged</w:t>
            </w:r>
          </w:p>
        </w:tc>
        <w:tc>
          <w:tcPr>
            <w:tcW w:w="1180" w:type="dxa"/>
            <w:shd w:val="clear" w:color="auto" w:fill="auto"/>
            <w:noWrap/>
            <w:tcMar>
              <w:bottom w:w="142" w:type="dxa"/>
            </w:tcMar>
          </w:tcPr>
          <w:p w:rsidR="00870E58" w:rsidRPr="00870E58" w:rsidRDefault="00870E58" w:rsidP="00870E58">
            <w:pPr>
              <w:spacing w:after="0" w:line="240" w:lineRule="auto"/>
              <w:jc w:val="center"/>
              <w:rPr>
                <w:rFonts w:eastAsia="Times New Roman"/>
                <w:b/>
                <w:bCs/>
                <w:color w:val="000000"/>
                <w:sz w:val="22"/>
                <w:lang w:val="en-GB" w:eastAsia="en-GB"/>
              </w:rPr>
            </w:pPr>
            <w:r w:rsidRPr="00870E58">
              <w:rPr>
                <w:rFonts w:eastAsia="Times New Roman"/>
                <w:b/>
                <w:bCs/>
                <w:color w:val="000000"/>
                <w:sz w:val="22"/>
                <w:lang w:val="en-GB" w:eastAsia="en-GB"/>
              </w:rPr>
              <w:t>No of Cases</w:t>
            </w:r>
          </w:p>
        </w:tc>
        <w:tc>
          <w:tcPr>
            <w:tcW w:w="2019" w:type="dxa"/>
            <w:shd w:val="clear" w:color="auto" w:fill="auto"/>
            <w:tcMar>
              <w:bottom w:w="142" w:type="dxa"/>
            </w:tcMar>
          </w:tcPr>
          <w:p w:rsidR="003C3E99" w:rsidRDefault="003C3E99" w:rsidP="00870E58">
            <w:pPr>
              <w:spacing w:after="0" w:line="240" w:lineRule="auto"/>
              <w:jc w:val="center"/>
              <w:rPr>
                <w:rFonts w:eastAsia="Times New Roman"/>
                <w:b/>
                <w:bCs/>
                <w:color w:val="000000"/>
                <w:sz w:val="22"/>
                <w:lang w:val="en-GB" w:eastAsia="en-GB"/>
              </w:rPr>
            </w:pPr>
            <w:r>
              <w:rPr>
                <w:rFonts w:eastAsia="Times New Roman"/>
                <w:b/>
                <w:bCs/>
                <w:color w:val="000000"/>
                <w:sz w:val="22"/>
                <w:lang w:val="en-GB" w:eastAsia="en-GB"/>
              </w:rPr>
              <w:t>Assessed Amount</w:t>
            </w:r>
          </w:p>
          <w:p w:rsidR="00870E58" w:rsidRPr="00870E58" w:rsidRDefault="00870E58" w:rsidP="00870E58">
            <w:pPr>
              <w:spacing w:after="0" w:line="240" w:lineRule="auto"/>
              <w:jc w:val="center"/>
              <w:rPr>
                <w:rFonts w:eastAsia="Times New Roman"/>
                <w:b/>
                <w:bCs/>
                <w:color w:val="000000"/>
                <w:sz w:val="22"/>
                <w:lang w:val="en-GB" w:eastAsia="en-GB"/>
              </w:rPr>
            </w:pPr>
            <w:r w:rsidRPr="00870E58">
              <w:rPr>
                <w:rFonts w:eastAsia="Times New Roman"/>
                <w:b/>
                <w:bCs/>
                <w:color w:val="000000"/>
                <w:sz w:val="22"/>
                <w:lang w:val="en-GB" w:eastAsia="en-GB"/>
              </w:rPr>
              <w:t xml:space="preserve">(Rs) </w:t>
            </w:r>
          </w:p>
        </w:tc>
        <w:tc>
          <w:tcPr>
            <w:tcW w:w="718" w:type="dxa"/>
            <w:shd w:val="clear" w:color="auto" w:fill="auto"/>
            <w:noWrap/>
            <w:tcMar>
              <w:bottom w:w="142" w:type="dxa"/>
            </w:tcMar>
          </w:tcPr>
          <w:p w:rsidR="00EF4D3F" w:rsidRDefault="00EF4D3F" w:rsidP="00870E58">
            <w:pPr>
              <w:spacing w:after="0" w:line="240" w:lineRule="auto"/>
              <w:jc w:val="center"/>
              <w:rPr>
                <w:rFonts w:eastAsia="Times New Roman"/>
                <w:b/>
                <w:color w:val="000000"/>
                <w:sz w:val="22"/>
                <w:lang w:val="en-GB" w:eastAsia="en-GB"/>
              </w:rPr>
            </w:pPr>
          </w:p>
          <w:p w:rsidR="00870E58" w:rsidRPr="00870E58" w:rsidRDefault="00870E58" w:rsidP="00870E58">
            <w:pPr>
              <w:spacing w:after="0" w:line="240" w:lineRule="auto"/>
              <w:jc w:val="center"/>
              <w:rPr>
                <w:rFonts w:eastAsia="Times New Roman"/>
                <w:b/>
                <w:color w:val="000000"/>
                <w:sz w:val="22"/>
                <w:lang w:val="en-GB" w:eastAsia="en-GB"/>
              </w:rPr>
            </w:pPr>
            <w:r w:rsidRPr="00870E58">
              <w:rPr>
                <w:rFonts w:eastAsia="Times New Roman"/>
                <w:b/>
                <w:color w:val="000000"/>
                <w:sz w:val="22"/>
                <w:lang w:val="en-GB" w:eastAsia="en-GB"/>
              </w:rPr>
              <w:t>%</w:t>
            </w:r>
          </w:p>
        </w:tc>
      </w:tr>
      <w:tr w:rsidR="00870E58" w:rsidRPr="00870E58" w:rsidTr="00D57473">
        <w:trPr>
          <w:trHeight w:val="20"/>
          <w:jc w:val="center"/>
        </w:trPr>
        <w:tc>
          <w:tcPr>
            <w:tcW w:w="2046" w:type="dxa"/>
            <w:shd w:val="clear" w:color="auto" w:fill="auto"/>
            <w:noWrap/>
            <w:tcMar>
              <w:bottom w:w="142" w:type="dxa"/>
            </w:tcMar>
            <w:vAlign w:val="bottom"/>
          </w:tcPr>
          <w:p w:rsidR="00870E58" w:rsidRPr="00870E58" w:rsidRDefault="00870E58" w:rsidP="00EF4D3F">
            <w:pPr>
              <w:spacing w:after="0" w:line="240" w:lineRule="auto"/>
              <w:rPr>
                <w:rFonts w:eastAsia="Times New Roman"/>
                <w:color w:val="000000"/>
                <w:sz w:val="22"/>
                <w:lang w:val="en-GB" w:eastAsia="en-GB"/>
              </w:rPr>
            </w:pPr>
            <w:r w:rsidRPr="00870E58">
              <w:rPr>
                <w:rFonts w:eastAsia="Times New Roman"/>
                <w:color w:val="000000"/>
                <w:sz w:val="22"/>
                <w:lang w:val="en-GB" w:eastAsia="en-GB"/>
              </w:rPr>
              <w:t>1999-2010</w:t>
            </w:r>
          </w:p>
        </w:tc>
        <w:tc>
          <w:tcPr>
            <w:tcW w:w="1180" w:type="dxa"/>
            <w:shd w:val="clear" w:color="auto" w:fill="auto"/>
            <w:noWrap/>
            <w:tcMar>
              <w:bottom w:w="142" w:type="dxa"/>
            </w:tcMar>
            <w:vAlign w:val="bottom"/>
          </w:tcPr>
          <w:p w:rsidR="00870E58" w:rsidRPr="00870E58" w:rsidRDefault="00870E58" w:rsidP="00D36956">
            <w:pPr>
              <w:spacing w:after="0" w:line="240" w:lineRule="auto"/>
              <w:ind w:right="144"/>
              <w:jc w:val="right"/>
              <w:rPr>
                <w:rFonts w:eastAsia="Times New Roman"/>
                <w:color w:val="000000"/>
                <w:sz w:val="22"/>
                <w:lang w:val="en-GB" w:eastAsia="en-GB"/>
              </w:rPr>
            </w:pPr>
            <w:r w:rsidRPr="00870E58">
              <w:rPr>
                <w:rFonts w:eastAsia="Times New Roman"/>
                <w:color w:val="000000"/>
                <w:sz w:val="22"/>
                <w:lang w:val="en-GB" w:eastAsia="en-GB"/>
              </w:rPr>
              <w:t xml:space="preserve">84 </w:t>
            </w:r>
          </w:p>
        </w:tc>
        <w:tc>
          <w:tcPr>
            <w:tcW w:w="2019" w:type="dxa"/>
            <w:shd w:val="clear" w:color="auto" w:fill="auto"/>
            <w:noWrap/>
            <w:tcMar>
              <w:bottom w:w="142" w:type="dxa"/>
            </w:tcMar>
            <w:vAlign w:val="bottom"/>
          </w:tcPr>
          <w:p w:rsidR="00870E58" w:rsidRPr="00870E58" w:rsidRDefault="00870E58" w:rsidP="00D36956">
            <w:pPr>
              <w:spacing w:after="0" w:line="240" w:lineRule="auto"/>
              <w:ind w:right="280"/>
              <w:jc w:val="right"/>
              <w:rPr>
                <w:rFonts w:eastAsia="Times New Roman"/>
                <w:color w:val="000000"/>
                <w:sz w:val="22"/>
                <w:lang w:val="en-GB" w:eastAsia="en-GB"/>
              </w:rPr>
            </w:pPr>
            <w:r w:rsidRPr="00870E58">
              <w:rPr>
                <w:rFonts w:eastAsia="Times New Roman"/>
                <w:color w:val="000000"/>
                <w:sz w:val="22"/>
                <w:lang w:val="en-GB" w:eastAsia="en-GB"/>
              </w:rPr>
              <w:t xml:space="preserve">115,506,999 </w:t>
            </w:r>
          </w:p>
        </w:tc>
        <w:tc>
          <w:tcPr>
            <w:tcW w:w="718" w:type="dxa"/>
            <w:shd w:val="clear" w:color="auto" w:fill="auto"/>
            <w:noWrap/>
            <w:tcMar>
              <w:bottom w:w="142" w:type="dxa"/>
            </w:tcMar>
            <w:vAlign w:val="bottom"/>
          </w:tcPr>
          <w:p w:rsidR="00870E58" w:rsidRPr="00870E58" w:rsidRDefault="00870E58" w:rsidP="00870E58">
            <w:pPr>
              <w:spacing w:after="0" w:line="240" w:lineRule="auto"/>
              <w:jc w:val="right"/>
              <w:rPr>
                <w:rFonts w:eastAsia="Times New Roman"/>
                <w:color w:val="000000"/>
                <w:sz w:val="22"/>
                <w:lang w:val="en-GB" w:eastAsia="en-GB"/>
              </w:rPr>
            </w:pPr>
            <w:r w:rsidRPr="00870E58">
              <w:rPr>
                <w:rFonts w:eastAsia="Times New Roman"/>
                <w:color w:val="000000"/>
                <w:sz w:val="22"/>
                <w:lang w:val="en-GB" w:eastAsia="en-GB"/>
              </w:rPr>
              <w:t>1.12</w:t>
            </w:r>
          </w:p>
        </w:tc>
      </w:tr>
      <w:tr w:rsidR="00870E58" w:rsidRPr="00870E58" w:rsidTr="00D57473">
        <w:trPr>
          <w:trHeight w:val="20"/>
          <w:jc w:val="center"/>
        </w:trPr>
        <w:tc>
          <w:tcPr>
            <w:tcW w:w="2046" w:type="dxa"/>
            <w:shd w:val="clear" w:color="auto" w:fill="auto"/>
            <w:noWrap/>
            <w:tcMar>
              <w:bottom w:w="142" w:type="dxa"/>
            </w:tcMar>
            <w:vAlign w:val="bottom"/>
          </w:tcPr>
          <w:p w:rsidR="00870E58" w:rsidRPr="00870E58" w:rsidRDefault="00870E58" w:rsidP="00EF4D3F">
            <w:pPr>
              <w:spacing w:after="0" w:line="240" w:lineRule="auto"/>
              <w:rPr>
                <w:rFonts w:eastAsia="Times New Roman"/>
                <w:color w:val="000000"/>
                <w:sz w:val="22"/>
                <w:lang w:val="en-GB" w:eastAsia="en-GB"/>
              </w:rPr>
            </w:pPr>
            <w:r w:rsidRPr="00870E58">
              <w:rPr>
                <w:rFonts w:eastAsia="Times New Roman"/>
                <w:color w:val="000000"/>
                <w:sz w:val="22"/>
                <w:lang w:val="en-GB" w:eastAsia="en-GB"/>
              </w:rPr>
              <w:t>2011-2015</w:t>
            </w:r>
          </w:p>
        </w:tc>
        <w:tc>
          <w:tcPr>
            <w:tcW w:w="1180" w:type="dxa"/>
            <w:shd w:val="clear" w:color="auto" w:fill="auto"/>
            <w:noWrap/>
            <w:tcMar>
              <w:bottom w:w="142" w:type="dxa"/>
            </w:tcMar>
            <w:vAlign w:val="bottom"/>
          </w:tcPr>
          <w:p w:rsidR="00870E58" w:rsidRPr="00870E58" w:rsidRDefault="00870E58" w:rsidP="00D36956">
            <w:pPr>
              <w:spacing w:after="0" w:line="240" w:lineRule="auto"/>
              <w:ind w:right="144"/>
              <w:jc w:val="right"/>
              <w:rPr>
                <w:rFonts w:eastAsia="Times New Roman"/>
                <w:color w:val="000000"/>
                <w:sz w:val="22"/>
                <w:lang w:val="en-GB" w:eastAsia="en-GB"/>
              </w:rPr>
            </w:pPr>
            <w:r w:rsidRPr="00870E58">
              <w:rPr>
                <w:rFonts w:eastAsia="Times New Roman"/>
                <w:color w:val="000000"/>
                <w:sz w:val="22"/>
                <w:lang w:val="en-GB" w:eastAsia="en-GB"/>
              </w:rPr>
              <w:t xml:space="preserve">1,352 </w:t>
            </w:r>
          </w:p>
        </w:tc>
        <w:tc>
          <w:tcPr>
            <w:tcW w:w="2019" w:type="dxa"/>
            <w:shd w:val="clear" w:color="auto" w:fill="auto"/>
            <w:noWrap/>
            <w:tcMar>
              <w:bottom w:w="142" w:type="dxa"/>
            </w:tcMar>
            <w:vAlign w:val="bottom"/>
          </w:tcPr>
          <w:p w:rsidR="00870E58" w:rsidRPr="00870E58" w:rsidRDefault="00870E58" w:rsidP="00D36956">
            <w:pPr>
              <w:spacing w:after="0" w:line="240" w:lineRule="auto"/>
              <w:ind w:right="280"/>
              <w:jc w:val="right"/>
              <w:rPr>
                <w:rFonts w:eastAsia="Times New Roman"/>
                <w:color w:val="000000"/>
                <w:sz w:val="22"/>
                <w:lang w:val="en-GB" w:eastAsia="en-GB"/>
              </w:rPr>
            </w:pPr>
            <w:r w:rsidRPr="00870E58">
              <w:rPr>
                <w:rFonts w:eastAsia="Times New Roman"/>
                <w:color w:val="000000"/>
                <w:sz w:val="22"/>
                <w:lang w:val="en-GB" w:eastAsia="en-GB"/>
              </w:rPr>
              <w:t xml:space="preserve">5,797,893,003 </w:t>
            </w:r>
          </w:p>
        </w:tc>
        <w:tc>
          <w:tcPr>
            <w:tcW w:w="718" w:type="dxa"/>
            <w:shd w:val="clear" w:color="auto" w:fill="auto"/>
            <w:noWrap/>
            <w:tcMar>
              <w:bottom w:w="142" w:type="dxa"/>
            </w:tcMar>
            <w:vAlign w:val="bottom"/>
          </w:tcPr>
          <w:p w:rsidR="00870E58" w:rsidRPr="00870E58" w:rsidRDefault="00870E58" w:rsidP="00870E58">
            <w:pPr>
              <w:spacing w:after="0" w:line="240" w:lineRule="auto"/>
              <w:jc w:val="right"/>
              <w:rPr>
                <w:rFonts w:eastAsia="Times New Roman"/>
                <w:color w:val="000000"/>
                <w:sz w:val="22"/>
                <w:lang w:val="en-GB" w:eastAsia="en-GB"/>
              </w:rPr>
            </w:pPr>
            <w:r w:rsidRPr="00870E58">
              <w:rPr>
                <w:rFonts w:eastAsia="Times New Roman"/>
                <w:color w:val="000000"/>
                <w:sz w:val="22"/>
                <w:lang w:val="en-GB" w:eastAsia="en-GB"/>
              </w:rPr>
              <w:t>56.04</w:t>
            </w:r>
          </w:p>
        </w:tc>
      </w:tr>
      <w:tr w:rsidR="00870E58" w:rsidRPr="00870E58" w:rsidTr="00D57473">
        <w:trPr>
          <w:trHeight w:val="20"/>
          <w:jc w:val="center"/>
        </w:trPr>
        <w:tc>
          <w:tcPr>
            <w:tcW w:w="2046" w:type="dxa"/>
            <w:shd w:val="clear" w:color="auto" w:fill="auto"/>
            <w:noWrap/>
            <w:tcMar>
              <w:bottom w:w="142" w:type="dxa"/>
            </w:tcMar>
            <w:vAlign w:val="bottom"/>
          </w:tcPr>
          <w:p w:rsidR="00151572" w:rsidRDefault="00151572" w:rsidP="00EF4D3F">
            <w:pPr>
              <w:spacing w:after="0" w:line="240" w:lineRule="auto"/>
              <w:rPr>
                <w:rFonts w:eastAsia="Times New Roman"/>
                <w:color w:val="000000"/>
                <w:sz w:val="22"/>
                <w:lang w:val="en-GB" w:eastAsia="en-GB"/>
              </w:rPr>
            </w:pPr>
            <w:r>
              <w:rPr>
                <w:rFonts w:eastAsia="Times New Roman"/>
                <w:color w:val="000000"/>
                <w:sz w:val="22"/>
                <w:lang w:val="en-GB" w:eastAsia="en-GB"/>
              </w:rPr>
              <w:t>January 2016 –</w:t>
            </w:r>
          </w:p>
          <w:p w:rsidR="00870E58" w:rsidRPr="00870E58" w:rsidRDefault="00870E58" w:rsidP="00EF4D3F">
            <w:pPr>
              <w:spacing w:after="0" w:line="240" w:lineRule="auto"/>
              <w:rPr>
                <w:rFonts w:eastAsia="Times New Roman"/>
                <w:color w:val="000000"/>
                <w:sz w:val="22"/>
                <w:lang w:val="en-GB" w:eastAsia="en-GB"/>
              </w:rPr>
            </w:pPr>
            <w:r w:rsidRPr="00870E58">
              <w:rPr>
                <w:rFonts w:eastAsia="Times New Roman"/>
                <w:color w:val="000000"/>
                <w:sz w:val="22"/>
                <w:lang w:val="en-GB" w:eastAsia="en-GB"/>
              </w:rPr>
              <w:t>June 2017</w:t>
            </w:r>
          </w:p>
        </w:tc>
        <w:tc>
          <w:tcPr>
            <w:tcW w:w="1180" w:type="dxa"/>
            <w:shd w:val="clear" w:color="auto" w:fill="auto"/>
            <w:noWrap/>
            <w:tcMar>
              <w:bottom w:w="142" w:type="dxa"/>
            </w:tcMar>
            <w:vAlign w:val="bottom"/>
          </w:tcPr>
          <w:p w:rsidR="00870E58" w:rsidRPr="00870E58" w:rsidRDefault="00870E58" w:rsidP="00D36956">
            <w:pPr>
              <w:spacing w:after="0" w:line="240" w:lineRule="auto"/>
              <w:ind w:right="144"/>
              <w:jc w:val="right"/>
              <w:rPr>
                <w:rFonts w:eastAsia="Times New Roman"/>
                <w:color w:val="000000"/>
                <w:sz w:val="22"/>
                <w:lang w:val="en-GB" w:eastAsia="en-GB"/>
              </w:rPr>
            </w:pPr>
            <w:r w:rsidRPr="00870E58">
              <w:rPr>
                <w:rFonts w:eastAsia="Times New Roman"/>
                <w:color w:val="000000"/>
                <w:sz w:val="22"/>
                <w:lang w:val="en-GB" w:eastAsia="en-GB"/>
              </w:rPr>
              <w:t xml:space="preserve">1,629 </w:t>
            </w:r>
          </w:p>
        </w:tc>
        <w:tc>
          <w:tcPr>
            <w:tcW w:w="2019" w:type="dxa"/>
            <w:shd w:val="clear" w:color="auto" w:fill="auto"/>
            <w:noWrap/>
            <w:tcMar>
              <w:bottom w:w="142" w:type="dxa"/>
            </w:tcMar>
            <w:vAlign w:val="bottom"/>
          </w:tcPr>
          <w:p w:rsidR="00870E58" w:rsidRPr="00870E58" w:rsidRDefault="00870E58" w:rsidP="00D36956">
            <w:pPr>
              <w:spacing w:after="0" w:line="240" w:lineRule="auto"/>
              <w:ind w:right="280"/>
              <w:jc w:val="right"/>
              <w:rPr>
                <w:rFonts w:eastAsia="Times New Roman"/>
                <w:color w:val="000000"/>
                <w:sz w:val="22"/>
                <w:lang w:val="en-GB" w:eastAsia="en-GB"/>
              </w:rPr>
            </w:pPr>
            <w:r w:rsidRPr="00870E58">
              <w:rPr>
                <w:rFonts w:eastAsia="Times New Roman"/>
                <w:color w:val="000000"/>
                <w:sz w:val="22"/>
                <w:lang w:val="en-GB" w:eastAsia="en-GB"/>
              </w:rPr>
              <w:t xml:space="preserve">4,431,845,036 </w:t>
            </w:r>
          </w:p>
        </w:tc>
        <w:tc>
          <w:tcPr>
            <w:tcW w:w="718" w:type="dxa"/>
            <w:shd w:val="clear" w:color="auto" w:fill="auto"/>
            <w:noWrap/>
            <w:tcMar>
              <w:bottom w:w="142" w:type="dxa"/>
            </w:tcMar>
            <w:vAlign w:val="bottom"/>
          </w:tcPr>
          <w:p w:rsidR="00870E58" w:rsidRPr="00870E58" w:rsidRDefault="00870E58" w:rsidP="00870E58">
            <w:pPr>
              <w:spacing w:after="0" w:line="240" w:lineRule="auto"/>
              <w:jc w:val="right"/>
              <w:rPr>
                <w:rFonts w:eastAsia="Times New Roman"/>
                <w:color w:val="000000"/>
                <w:sz w:val="22"/>
                <w:lang w:val="en-GB" w:eastAsia="en-GB"/>
              </w:rPr>
            </w:pPr>
            <w:r w:rsidRPr="00870E58">
              <w:rPr>
                <w:rFonts w:eastAsia="Times New Roman"/>
                <w:color w:val="000000"/>
                <w:sz w:val="22"/>
                <w:lang w:val="en-GB" w:eastAsia="en-GB"/>
              </w:rPr>
              <w:t>42.84</w:t>
            </w:r>
          </w:p>
        </w:tc>
      </w:tr>
      <w:tr w:rsidR="00870E58" w:rsidRPr="00870E58" w:rsidTr="00D57473">
        <w:trPr>
          <w:trHeight w:val="20"/>
          <w:jc w:val="center"/>
        </w:trPr>
        <w:tc>
          <w:tcPr>
            <w:tcW w:w="2046" w:type="dxa"/>
            <w:shd w:val="clear" w:color="auto" w:fill="auto"/>
            <w:noWrap/>
            <w:vAlign w:val="bottom"/>
          </w:tcPr>
          <w:p w:rsidR="00870E58" w:rsidRPr="00870E58" w:rsidRDefault="00870E58" w:rsidP="00EF4D3F">
            <w:pPr>
              <w:spacing w:after="0" w:line="240" w:lineRule="auto"/>
              <w:rPr>
                <w:rFonts w:eastAsia="Times New Roman"/>
                <w:b/>
                <w:color w:val="000000"/>
                <w:sz w:val="22"/>
                <w:lang w:val="en-GB" w:eastAsia="en-GB"/>
              </w:rPr>
            </w:pPr>
            <w:r w:rsidRPr="00870E58">
              <w:rPr>
                <w:rFonts w:eastAsia="Times New Roman"/>
                <w:b/>
                <w:color w:val="000000"/>
                <w:sz w:val="22"/>
                <w:lang w:val="en-GB" w:eastAsia="en-GB"/>
              </w:rPr>
              <w:t>Total</w:t>
            </w:r>
          </w:p>
        </w:tc>
        <w:tc>
          <w:tcPr>
            <w:tcW w:w="1180" w:type="dxa"/>
            <w:shd w:val="clear" w:color="auto" w:fill="auto"/>
            <w:noWrap/>
            <w:vAlign w:val="bottom"/>
          </w:tcPr>
          <w:p w:rsidR="00870E58" w:rsidRPr="00870E58" w:rsidRDefault="00870E58" w:rsidP="00D36956">
            <w:pPr>
              <w:spacing w:after="0" w:line="240" w:lineRule="auto"/>
              <w:ind w:right="144"/>
              <w:jc w:val="right"/>
              <w:rPr>
                <w:rFonts w:eastAsia="Times New Roman"/>
                <w:color w:val="000000"/>
                <w:sz w:val="22"/>
                <w:lang w:val="en-GB" w:eastAsia="en-GB"/>
              </w:rPr>
            </w:pPr>
            <w:r w:rsidRPr="00870E58">
              <w:rPr>
                <w:rFonts w:eastAsia="Times New Roman"/>
                <w:b/>
                <w:bCs/>
                <w:color w:val="000000"/>
                <w:sz w:val="22"/>
                <w:lang w:val="en-GB" w:eastAsia="en-GB"/>
              </w:rPr>
              <w:t>3,065</w:t>
            </w:r>
          </w:p>
        </w:tc>
        <w:tc>
          <w:tcPr>
            <w:tcW w:w="2019" w:type="dxa"/>
            <w:shd w:val="clear" w:color="auto" w:fill="auto"/>
            <w:noWrap/>
            <w:vAlign w:val="bottom"/>
          </w:tcPr>
          <w:p w:rsidR="00870E58" w:rsidRPr="00870E58" w:rsidRDefault="00870E58" w:rsidP="00D36956">
            <w:pPr>
              <w:spacing w:after="0" w:line="240" w:lineRule="auto"/>
              <w:ind w:right="280"/>
              <w:jc w:val="right"/>
              <w:rPr>
                <w:rFonts w:eastAsia="Times New Roman"/>
                <w:color w:val="000000"/>
                <w:sz w:val="22"/>
                <w:lang w:val="en-GB" w:eastAsia="en-GB"/>
              </w:rPr>
            </w:pPr>
            <w:r w:rsidRPr="00870E58">
              <w:rPr>
                <w:rFonts w:eastAsia="Times New Roman"/>
                <w:b/>
                <w:bCs/>
                <w:color w:val="000000"/>
                <w:sz w:val="22"/>
                <w:lang w:val="en-GB" w:eastAsia="en-GB"/>
              </w:rPr>
              <w:t>10,345,245,038</w:t>
            </w:r>
          </w:p>
        </w:tc>
        <w:tc>
          <w:tcPr>
            <w:tcW w:w="718" w:type="dxa"/>
            <w:shd w:val="clear" w:color="auto" w:fill="auto"/>
            <w:noWrap/>
            <w:vAlign w:val="bottom"/>
          </w:tcPr>
          <w:p w:rsidR="00870E58" w:rsidRPr="00870E58" w:rsidRDefault="00870E58" w:rsidP="00870E58">
            <w:pPr>
              <w:spacing w:after="0" w:line="240" w:lineRule="auto"/>
              <w:jc w:val="right"/>
              <w:rPr>
                <w:rFonts w:eastAsia="Times New Roman"/>
                <w:color w:val="000000"/>
                <w:sz w:val="22"/>
                <w:lang w:val="en-GB" w:eastAsia="en-GB"/>
              </w:rPr>
            </w:pPr>
          </w:p>
        </w:tc>
      </w:tr>
    </w:tbl>
    <w:p w:rsidR="00870E58" w:rsidRPr="00870E58" w:rsidRDefault="00870E58" w:rsidP="00D57473">
      <w:pPr>
        <w:pBdr>
          <w:bottom w:val="single" w:sz="4" w:space="1" w:color="auto"/>
        </w:pBdr>
        <w:autoSpaceDE w:val="0"/>
        <w:autoSpaceDN w:val="0"/>
        <w:adjustRightInd w:val="0"/>
        <w:spacing w:after="0" w:line="240" w:lineRule="auto"/>
        <w:rPr>
          <w:i/>
          <w:sz w:val="20"/>
          <w:szCs w:val="20"/>
        </w:rPr>
      </w:pPr>
    </w:p>
    <w:p w:rsidR="00870E58" w:rsidRPr="00870E58" w:rsidRDefault="00870E58" w:rsidP="00D57473">
      <w:pPr>
        <w:autoSpaceDE w:val="0"/>
        <w:autoSpaceDN w:val="0"/>
        <w:adjustRightInd w:val="0"/>
        <w:spacing w:after="0" w:line="240" w:lineRule="auto"/>
        <w:rPr>
          <w:i/>
          <w:sz w:val="20"/>
          <w:szCs w:val="20"/>
        </w:rPr>
      </w:pPr>
      <w:r w:rsidRPr="00870E58">
        <w:rPr>
          <w:i/>
          <w:sz w:val="20"/>
          <w:szCs w:val="20"/>
        </w:rPr>
        <w:t>Source:  Records of MRA</w:t>
      </w:r>
    </w:p>
    <w:p w:rsidR="00870E58" w:rsidRPr="00D36956" w:rsidRDefault="00870E58" w:rsidP="00D36956">
      <w:pPr>
        <w:spacing w:after="0" w:line="240" w:lineRule="auto"/>
        <w:rPr>
          <w:szCs w:val="24"/>
          <w:lang w:val="en-GB"/>
        </w:rPr>
      </w:pPr>
    </w:p>
    <w:p w:rsidR="00870E58" w:rsidRPr="00870E58" w:rsidRDefault="00870E58" w:rsidP="00D36956">
      <w:pPr>
        <w:spacing w:after="0" w:line="240" w:lineRule="auto"/>
        <w:rPr>
          <w:b/>
          <w:i/>
          <w:szCs w:val="24"/>
          <w:lang w:val="en-GB"/>
        </w:rPr>
      </w:pPr>
      <w:r w:rsidRPr="00870E58">
        <w:rPr>
          <w:b/>
          <w:i/>
          <w:szCs w:val="24"/>
          <w:lang w:val="en-GB"/>
        </w:rPr>
        <w:t>MRA’s Reply</w:t>
      </w:r>
    </w:p>
    <w:p w:rsidR="00870E58" w:rsidRPr="00870E58" w:rsidRDefault="00870E58" w:rsidP="00D36956">
      <w:pPr>
        <w:spacing w:after="0" w:line="240" w:lineRule="auto"/>
        <w:rPr>
          <w:b/>
          <w:i/>
          <w:szCs w:val="24"/>
          <w:lang w:val="en-GB"/>
        </w:rPr>
      </w:pPr>
    </w:p>
    <w:p w:rsidR="00870E58" w:rsidRPr="00870E58" w:rsidRDefault="00870E58" w:rsidP="00D36956">
      <w:pPr>
        <w:spacing w:after="0" w:line="240" w:lineRule="auto"/>
        <w:jc w:val="both"/>
        <w:rPr>
          <w:szCs w:val="24"/>
          <w:lang w:val="en-GB"/>
        </w:rPr>
      </w:pPr>
      <w:r w:rsidRPr="00870E58">
        <w:rPr>
          <w:szCs w:val="24"/>
          <w:lang w:val="en-GB"/>
        </w:rPr>
        <w:t>Appeal cases are not under the purview of the MRA but that of the ARC.</w:t>
      </w:r>
      <w:r w:rsidR="003C3E99">
        <w:rPr>
          <w:szCs w:val="24"/>
          <w:lang w:val="en-GB"/>
        </w:rPr>
        <w:t xml:space="preserve"> </w:t>
      </w:r>
      <w:r w:rsidRPr="00870E58">
        <w:rPr>
          <w:szCs w:val="24"/>
          <w:lang w:val="en-GB"/>
        </w:rPr>
        <w:t xml:space="preserve">The MRA is therefore not in a position to comment on the number of cases pending at the ARC, the amount involved or the non-determination of cases within the six </w:t>
      </w:r>
      <w:r w:rsidR="00151572">
        <w:rPr>
          <w:szCs w:val="24"/>
          <w:lang w:val="en-GB"/>
        </w:rPr>
        <w:t>month statutory period</w:t>
      </w:r>
      <w:r w:rsidRPr="00870E58">
        <w:rPr>
          <w:szCs w:val="24"/>
          <w:lang w:val="en-GB"/>
        </w:rPr>
        <w:t>.</w:t>
      </w:r>
    </w:p>
    <w:p w:rsidR="00870E58" w:rsidRPr="00870E58" w:rsidRDefault="00870E58" w:rsidP="00D36956">
      <w:pPr>
        <w:spacing w:after="0" w:line="240" w:lineRule="auto"/>
        <w:jc w:val="both"/>
        <w:rPr>
          <w:szCs w:val="24"/>
        </w:rPr>
      </w:pPr>
    </w:p>
    <w:p w:rsidR="00870E58" w:rsidRPr="00870E58" w:rsidRDefault="00870E58" w:rsidP="00D36956">
      <w:pPr>
        <w:spacing w:after="0" w:line="240" w:lineRule="auto"/>
        <w:jc w:val="both"/>
        <w:rPr>
          <w:szCs w:val="24"/>
        </w:rPr>
      </w:pPr>
      <w:r w:rsidRPr="00870E58">
        <w:rPr>
          <w:szCs w:val="24"/>
        </w:rPr>
        <w:t>With a view to reducing the number of appeal cases at ARC:</w:t>
      </w:r>
    </w:p>
    <w:p w:rsidR="00870E58" w:rsidRPr="00870E58" w:rsidRDefault="00870E58" w:rsidP="00D36956">
      <w:pPr>
        <w:spacing w:after="0" w:line="240" w:lineRule="auto"/>
        <w:jc w:val="both"/>
        <w:rPr>
          <w:szCs w:val="24"/>
        </w:rPr>
      </w:pPr>
    </w:p>
    <w:p w:rsidR="00870E58" w:rsidRPr="00870E58" w:rsidRDefault="00870E58" w:rsidP="00B628CB">
      <w:pPr>
        <w:numPr>
          <w:ilvl w:val="0"/>
          <w:numId w:val="29"/>
        </w:numPr>
        <w:spacing w:after="0" w:line="240" w:lineRule="auto"/>
        <w:ind w:left="360"/>
        <w:contextualSpacing/>
        <w:jc w:val="both"/>
        <w:rPr>
          <w:szCs w:val="24"/>
        </w:rPr>
      </w:pPr>
      <w:r w:rsidRPr="00870E58">
        <w:rPr>
          <w:szCs w:val="24"/>
          <w:lang w:val="en-GB"/>
        </w:rPr>
        <w:t>An Alternative Tax Dis</w:t>
      </w:r>
      <w:r w:rsidR="003B2DE0">
        <w:rPr>
          <w:szCs w:val="24"/>
          <w:lang w:val="en-GB"/>
        </w:rPr>
        <w:t>pute Resolution (ATDR) Panel had been set up</w:t>
      </w:r>
      <w:r w:rsidRPr="00870E58">
        <w:rPr>
          <w:szCs w:val="24"/>
          <w:lang w:val="en-GB"/>
        </w:rPr>
        <w:t xml:space="preserve"> under the MRA Act </w:t>
      </w:r>
      <w:r w:rsidRPr="00870E58">
        <w:rPr>
          <w:szCs w:val="24"/>
        </w:rPr>
        <w:t>to deal with applications for review made by any p</w:t>
      </w:r>
      <w:r w:rsidR="003B2DE0">
        <w:rPr>
          <w:szCs w:val="24"/>
        </w:rPr>
        <w:t>erson who had been assessed to Income T</w:t>
      </w:r>
      <w:r w:rsidRPr="00870E58">
        <w:rPr>
          <w:szCs w:val="24"/>
        </w:rPr>
        <w:t>ax, V</w:t>
      </w:r>
      <w:r w:rsidR="003B2DE0">
        <w:rPr>
          <w:szCs w:val="24"/>
        </w:rPr>
        <w:t>AT or Gaming Tax</w:t>
      </w:r>
      <w:r w:rsidRPr="00870E58">
        <w:rPr>
          <w:szCs w:val="24"/>
        </w:rPr>
        <w:t xml:space="preserve"> and who had objected to the assessment or appealed at the ARC, where the amount of tax payable under dispute exceeded </w:t>
      </w:r>
      <w:r w:rsidR="003B2DE0">
        <w:rPr>
          <w:szCs w:val="24"/>
        </w:rPr>
        <w:br/>
      </w:r>
      <w:r w:rsidRPr="00870E58">
        <w:rPr>
          <w:szCs w:val="24"/>
        </w:rPr>
        <w:t>Rs</w:t>
      </w:r>
      <w:r w:rsidR="003B2DE0">
        <w:rPr>
          <w:szCs w:val="24"/>
        </w:rPr>
        <w:t xml:space="preserve"> </w:t>
      </w:r>
      <w:r w:rsidRPr="00870E58">
        <w:rPr>
          <w:szCs w:val="24"/>
        </w:rPr>
        <w:t>10 million;</w:t>
      </w:r>
      <w:r w:rsidR="003C3E99">
        <w:rPr>
          <w:szCs w:val="24"/>
        </w:rPr>
        <w:t xml:space="preserve"> </w:t>
      </w:r>
    </w:p>
    <w:p w:rsidR="00870E58" w:rsidRPr="00870E58" w:rsidRDefault="00870E58" w:rsidP="00D36956">
      <w:pPr>
        <w:spacing w:after="0" w:line="240" w:lineRule="auto"/>
        <w:ind w:left="360" w:hanging="360"/>
        <w:jc w:val="both"/>
        <w:rPr>
          <w:szCs w:val="24"/>
        </w:rPr>
      </w:pPr>
    </w:p>
    <w:p w:rsidR="00870E58" w:rsidRPr="00870E58" w:rsidRDefault="00870E58" w:rsidP="00B628CB">
      <w:pPr>
        <w:numPr>
          <w:ilvl w:val="0"/>
          <w:numId w:val="29"/>
        </w:numPr>
        <w:spacing w:after="0" w:line="240" w:lineRule="auto"/>
        <w:ind w:left="360"/>
        <w:contextualSpacing/>
        <w:jc w:val="both"/>
        <w:rPr>
          <w:szCs w:val="24"/>
        </w:rPr>
      </w:pPr>
      <w:r w:rsidRPr="00870E58">
        <w:rPr>
          <w:szCs w:val="24"/>
        </w:rPr>
        <w:t>The Expeditious Dispute Resolution Tax Scheme (EDRTS) had also been set up under the MRA Act, to review assessments raised for Income Tax, VAT and Gaming Tax, where the tax claimed under the assessment</w:t>
      </w:r>
      <w:r w:rsidR="00D57473">
        <w:rPr>
          <w:szCs w:val="24"/>
        </w:rPr>
        <w:t>s did not exceed Rs10 million.</w:t>
      </w:r>
    </w:p>
    <w:p w:rsidR="00D57473" w:rsidRDefault="00D57473">
      <w:pPr>
        <w:rPr>
          <w:szCs w:val="24"/>
        </w:rPr>
      </w:pPr>
      <w:r>
        <w:rPr>
          <w:szCs w:val="24"/>
        </w:rPr>
        <w:br w:type="page"/>
      </w:r>
    </w:p>
    <w:p w:rsidR="00870E58" w:rsidRPr="00870E58" w:rsidRDefault="00870E58" w:rsidP="00D36956">
      <w:pPr>
        <w:spacing w:after="0" w:line="240" w:lineRule="auto"/>
        <w:jc w:val="both"/>
        <w:rPr>
          <w:szCs w:val="24"/>
        </w:rPr>
      </w:pPr>
      <w:r w:rsidRPr="00870E58">
        <w:rPr>
          <w:szCs w:val="24"/>
        </w:rPr>
        <w:lastRenderedPageBreak/>
        <w:t>As of 31 Dec</w:t>
      </w:r>
      <w:r w:rsidR="003B2DE0">
        <w:rPr>
          <w:szCs w:val="24"/>
        </w:rPr>
        <w:t>ember</w:t>
      </w:r>
      <w:r w:rsidRPr="00870E58">
        <w:rPr>
          <w:szCs w:val="24"/>
        </w:rPr>
        <w:t xml:space="preserve"> 2017:</w:t>
      </w:r>
    </w:p>
    <w:p w:rsidR="00870E58" w:rsidRPr="00870E58" w:rsidRDefault="00870E58" w:rsidP="00D36956">
      <w:pPr>
        <w:spacing w:after="0" w:line="240" w:lineRule="auto"/>
        <w:jc w:val="both"/>
        <w:rPr>
          <w:szCs w:val="24"/>
        </w:rPr>
      </w:pPr>
    </w:p>
    <w:p w:rsidR="00870E58" w:rsidRPr="00870E58" w:rsidRDefault="00870E58" w:rsidP="00D57473">
      <w:pPr>
        <w:numPr>
          <w:ilvl w:val="0"/>
          <w:numId w:val="7"/>
        </w:numPr>
        <w:spacing w:after="0" w:line="240" w:lineRule="auto"/>
        <w:ind w:left="360"/>
        <w:contextualSpacing/>
        <w:jc w:val="both"/>
        <w:rPr>
          <w:szCs w:val="24"/>
        </w:rPr>
      </w:pPr>
      <w:r w:rsidRPr="00870E58">
        <w:rPr>
          <w:szCs w:val="24"/>
        </w:rPr>
        <w:t>99 applications for an assessed amount of Rs 2.8 billion had been received at the ATDR Panel.</w:t>
      </w:r>
      <w:r w:rsidR="003C3E99">
        <w:rPr>
          <w:szCs w:val="24"/>
        </w:rPr>
        <w:t xml:space="preserve"> </w:t>
      </w:r>
      <w:r w:rsidRPr="00870E58">
        <w:rPr>
          <w:szCs w:val="24"/>
        </w:rPr>
        <w:t xml:space="preserve">29 of these applications, where the assessed amount was </w:t>
      </w:r>
      <w:r w:rsidR="00D57473">
        <w:rPr>
          <w:szCs w:val="24"/>
        </w:rPr>
        <w:br/>
      </w:r>
      <w:r w:rsidR="003B2DE0">
        <w:rPr>
          <w:szCs w:val="24"/>
        </w:rPr>
        <w:t>Rs 930 million,</w:t>
      </w:r>
      <w:r w:rsidRPr="00870E58">
        <w:rPr>
          <w:szCs w:val="24"/>
        </w:rPr>
        <w:t xml:space="preserve"> had already been finalised for an amount of some Rs 290 million; </w:t>
      </w:r>
    </w:p>
    <w:p w:rsidR="00870E58" w:rsidRPr="00870E58" w:rsidRDefault="00870E58" w:rsidP="00D57473">
      <w:pPr>
        <w:spacing w:after="0" w:line="240" w:lineRule="auto"/>
        <w:jc w:val="both"/>
        <w:rPr>
          <w:szCs w:val="24"/>
        </w:rPr>
      </w:pPr>
    </w:p>
    <w:p w:rsidR="00870E58" w:rsidRPr="00870E58" w:rsidRDefault="00870E58" w:rsidP="00D57473">
      <w:pPr>
        <w:numPr>
          <w:ilvl w:val="0"/>
          <w:numId w:val="7"/>
        </w:numPr>
        <w:spacing w:after="0" w:line="240" w:lineRule="auto"/>
        <w:ind w:left="360"/>
        <w:contextualSpacing/>
        <w:jc w:val="both"/>
        <w:rPr>
          <w:szCs w:val="24"/>
        </w:rPr>
      </w:pPr>
      <w:r w:rsidRPr="00870E58">
        <w:rPr>
          <w:szCs w:val="24"/>
        </w:rPr>
        <w:t>405 cases with an assessed amount of Rs 358.9 million had been received under the EDRTS.</w:t>
      </w:r>
      <w:r w:rsidR="003C3E99">
        <w:rPr>
          <w:szCs w:val="24"/>
        </w:rPr>
        <w:t xml:space="preserve"> </w:t>
      </w:r>
      <w:r w:rsidRPr="00870E58">
        <w:rPr>
          <w:szCs w:val="24"/>
        </w:rPr>
        <w:t>93 of these cases had been finalised for some Rs 22 million, against an ass</w:t>
      </w:r>
      <w:r w:rsidR="003B2DE0">
        <w:rPr>
          <w:szCs w:val="24"/>
        </w:rPr>
        <w:t>essed amount of Rs 80.5 million.</w:t>
      </w:r>
    </w:p>
    <w:p w:rsidR="00870E58" w:rsidRPr="00870E58" w:rsidRDefault="00870E58" w:rsidP="00D36956">
      <w:pPr>
        <w:spacing w:after="0" w:line="240" w:lineRule="auto"/>
        <w:jc w:val="both"/>
        <w:rPr>
          <w:szCs w:val="24"/>
        </w:rPr>
      </w:pPr>
    </w:p>
    <w:p w:rsidR="00870E58" w:rsidRPr="00870E58" w:rsidRDefault="00870E58" w:rsidP="00D36956">
      <w:pPr>
        <w:spacing w:after="0" w:line="240" w:lineRule="auto"/>
        <w:jc w:val="both"/>
        <w:rPr>
          <w:szCs w:val="24"/>
        </w:rPr>
      </w:pPr>
      <w:r w:rsidRPr="00870E58">
        <w:rPr>
          <w:szCs w:val="24"/>
        </w:rPr>
        <w:t>Further, 323 cases, which were pending before the ARC, have been finalised through pre-hearing negotiations by MRA during the period July to December 2017.</w:t>
      </w:r>
    </w:p>
    <w:p w:rsidR="00870E58" w:rsidRPr="00870E58" w:rsidRDefault="00870E58" w:rsidP="00D36956">
      <w:pPr>
        <w:autoSpaceDE w:val="0"/>
        <w:autoSpaceDN w:val="0"/>
        <w:adjustRightInd w:val="0"/>
        <w:spacing w:after="0" w:line="240" w:lineRule="auto"/>
        <w:contextualSpacing/>
        <w:jc w:val="both"/>
        <w:rPr>
          <w:rFonts w:eastAsia="Times New Roman"/>
          <w:szCs w:val="24"/>
          <w:bdr w:val="none" w:sz="0" w:space="0" w:color="auto" w:frame="1"/>
        </w:rPr>
      </w:pPr>
    </w:p>
    <w:p w:rsidR="00870E58" w:rsidRDefault="00D36956" w:rsidP="00D36956">
      <w:pPr>
        <w:spacing w:after="0" w:line="240" w:lineRule="auto"/>
        <w:jc w:val="both"/>
        <w:rPr>
          <w:rFonts w:eastAsia="Times New Roman"/>
          <w:b/>
          <w:i/>
          <w:szCs w:val="24"/>
          <w:bdr w:val="none" w:sz="0" w:space="0" w:color="auto" w:frame="1"/>
        </w:rPr>
      </w:pPr>
      <w:r>
        <w:rPr>
          <w:b/>
          <w:i/>
          <w:szCs w:val="24"/>
        </w:rPr>
        <w:t>6.4</w:t>
      </w:r>
      <w:r w:rsidR="00870E58" w:rsidRPr="00870E58">
        <w:rPr>
          <w:b/>
          <w:i/>
          <w:szCs w:val="24"/>
        </w:rPr>
        <w:t>.2</w:t>
      </w:r>
      <w:r w:rsidR="00870E58" w:rsidRPr="00870E58">
        <w:rPr>
          <w:b/>
          <w:i/>
          <w:szCs w:val="24"/>
        </w:rPr>
        <w:tab/>
      </w:r>
      <w:r w:rsidR="00870E58" w:rsidRPr="00870E58">
        <w:rPr>
          <w:b/>
          <w:i/>
          <w:szCs w:val="24"/>
          <w:lang w:val="en-GB"/>
        </w:rPr>
        <w:t xml:space="preserve">Collectible Debts - Rs </w:t>
      </w:r>
      <w:r w:rsidR="00870E58" w:rsidRPr="00870E58">
        <w:rPr>
          <w:rFonts w:eastAsia="Times New Roman"/>
          <w:b/>
          <w:bCs/>
          <w:i/>
          <w:szCs w:val="24"/>
          <w:lang w:eastAsia="en-GB"/>
        </w:rPr>
        <w:t>7,374,003,498</w:t>
      </w:r>
      <w:r w:rsidR="00870E58" w:rsidRPr="00870E58">
        <w:rPr>
          <w:rFonts w:eastAsia="Times New Roman"/>
          <w:b/>
          <w:i/>
          <w:szCs w:val="24"/>
          <w:bdr w:val="none" w:sz="0" w:space="0" w:color="auto" w:frame="1"/>
        </w:rPr>
        <w:t xml:space="preserve"> </w:t>
      </w:r>
    </w:p>
    <w:p w:rsidR="00D36956" w:rsidRPr="00870E58" w:rsidRDefault="00D36956" w:rsidP="00D36956">
      <w:pPr>
        <w:spacing w:after="0" w:line="240" w:lineRule="auto"/>
        <w:jc w:val="both"/>
        <w:rPr>
          <w:rFonts w:eastAsia="Times New Roman"/>
          <w:b/>
          <w:i/>
          <w:szCs w:val="24"/>
          <w:bdr w:val="none" w:sz="0" w:space="0" w:color="auto" w:frame="1"/>
        </w:rPr>
      </w:pPr>
    </w:p>
    <w:p w:rsidR="00870E58" w:rsidRPr="00870E58" w:rsidRDefault="00870E58" w:rsidP="00D36956">
      <w:pPr>
        <w:spacing w:after="0" w:line="240" w:lineRule="auto"/>
        <w:jc w:val="both"/>
        <w:rPr>
          <w:rFonts w:eastAsia="Times New Roman"/>
          <w:szCs w:val="24"/>
          <w:bdr w:val="none" w:sz="0" w:space="0" w:color="auto" w:frame="1"/>
        </w:rPr>
      </w:pPr>
      <w:r w:rsidRPr="00870E58">
        <w:rPr>
          <w:szCs w:val="24"/>
        </w:rPr>
        <w:t xml:space="preserve">Arrears of revenue of the MRA, </w:t>
      </w:r>
      <w:r w:rsidRPr="00870E58">
        <w:rPr>
          <w:rFonts w:eastAsia="Times New Roman"/>
          <w:szCs w:val="24"/>
          <w:bdr w:val="none" w:sz="0" w:space="0" w:color="auto" w:frame="1"/>
        </w:rPr>
        <w:t>(excluding Customs and Excise),</w:t>
      </w:r>
      <w:r w:rsidRPr="00870E58">
        <w:rPr>
          <w:szCs w:val="24"/>
        </w:rPr>
        <w:t xml:space="preserve"> have </w:t>
      </w:r>
      <w:r w:rsidRPr="00870E58">
        <w:rPr>
          <w:rFonts w:eastAsia="Times New Roman"/>
          <w:szCs w:val="24"/>
          <w:bdr w:val="none" w:sz="0" w:space="0" w:color="auto" w:frame="1"/>
        </w:rPr>
        <w:t xml:space="preserve">increased from </w:t>
      </w:r>
      <w:r w:rsidR="00D57473">
        <w:rPr>
          <w:rFonts w:eastAsia="Times New Roman"/>
          <w:szCs w:val="24"/>
          <w:bdr w:val="none" w:sz="0" w:space="0" w:color="auto" w:frame="1"/>
        </w:rPr>
        <w:br/>
      </w:r>
      <w:r w:rsidRPr="00870E58">
        <w:rPr>
          <w:rFonts w:eastAsia="Times New Roman"/>
          <w:szCs w:val="24"/>
          <w:bdr w:val="none" w:sz="0" w:space="0" w:color="auto" w:frame="1"/>
        </w:rPr>
        <w:t xml:space="preserve">Rs </w:t>
      </w:r>
      <w:r w:rsidRPr="00870E58">
        <w:rPr>
          <w:rFonts w:eastAsia="Times New Roman"/>
          <w:bCs/>
          <w:szCs w:val="24"/>
          <w:lang w:eastAsia="en-GB"/>
        </w:rPr>
        <w:t>5,845,669,373 as of 30 June 2016 to Rs 7,374,003,498</w:t>
      </w:r>
      <w:r w:rsidRPr="00870E58">
        <w:rPr>
          <w:rFonts w:eastAsia="Times New Roman"/>
          <w:szCs w:val="24"/>
          <w:bdr w:val="none" w:sz="0" w:space="0" w:color="auto" w:frame="1"/>
        </w:rPr>
        <w:t xml:space="preserve"> as of 30 June 2017, as shown in Table </w:t>
      </w:r>
      <w:r w:rsidR="00CA4A50">
        <w:rPr>
          <w:rFonts w:eastAsia="Times New Roman"/>
          <w:szCs w:val="24"/>
          <w:bdr w:val="none" w:sz="0" w:space="0" w:color="auto" w:frame="1"/>
        </w:rPr>
        <w:t>6-6</w:t>
      </w:r>
      <w:r w:rsidRPr="00870E58">
        <w:rPr>
          <w:rFonts w:eastAsia="Times New Roman"/>
          <w:szCs w:val="24"/>
          <w:bdr w:val="none" w:sz="0" w:space="0" w:color="auto" w:frame="1"/>
        </w:rPr>
        <w:t>.</w:t>
      </w:r>
    </w:p>
    <w:p w:rsidR="00870E58" w:rsidRDefault="00CA4A50" w:rsidP="00D36956">
      <w:pPr>
        <w:spacing w:after="0" w:line="240" w:lineRule="auto"/>
        <w:jc w:val="center"/>
        <w:rPr>
          <w:i/>
          <w:szCs w:val="24"/>
          <w:lang w:val="en-GB"/>
        </w:rPr>
      </w:pPr>
      <w:r>
        <w:rPr>
          <w:i/>
          <w:szCs w:val="24"/>
          <w:lang w:val="en-GB"/>
        </w:rPr>
        <w:t xml:space="preserve">Table </w:t>
      </w:r>
      <w:bookmarkStart w:id="6" w:name="_Hlk507250000"/>
      <w:r>
        <w:rPr>
          <w:i/>
          <w:szCs w:val="24"/>
          <w:lang w:val="en-GB"/>
        </w:rPr>
        <w:t>6-</w:t>
      </w:r>
      <w:proofErr w:type="gramStart"/>
      <w:r>
        <w:rPr>
          <w:i/>
          <w:szCs w:val="24"/>
          <w:lang w:val="en-GB"/>
        </w:rPr>
        <w:t>6</w:t>
      </w:r>
      <w:r w:rsidR="00D57473">
        <w:rPr>
          <w:i/>
          <w:szCs w:val="24"/>
          <w:lang w:val="en-GB"/>
        </w:rPr>
        <w:t xml:space="preserve"> </w:t>
      </w:r>
      <w:r w:rsidR="00870E58" w:rsidRPr="00870E58">
        <w:rPr>
          <w:i/>
          <w:szCs w:val="24"/>
          <w:lang w:val="en-GB"/>
        </w:rPr>
        <w:t xml:space="preserve"> Tax</w:t>
      </w:r>
      <w:proofErr w:type="gramEnd"/>
      <w:r w:rsidR="00870E58" w:rsidRPr="00870E58">
        <w:rPr>
          <w:i/>
          <w:szCs w:val="24"/>
          <w:lang w:val="en-GB"/>
        </w:rPr>
        <w:t xml:space="preserve"> Arrears</w:t>
      </w:r>
      <w:bookmarkEnd w:id="6"/>
    </w:p>
    <w:p w:rsidR="00D57473" w:rsidRDefault="00D57473" w:rsidP="00D36956">
      <w:pPr>
        <w:spacing w:after="0" w:line="240" w:lineRule="auto"/>
        <w:jc w:val="center"/>
        <w:rPr>
          <w:i/>
          <w:szCs w:val="24"/>
          <w:lang w:val="en-GB"/>
        </w:rPr>
      </w:pPr>
    </w:p>
    <w:p w:rsidR="00D57473" w:rsidRPr="00870E58" w:rsidRDefault="00D57473" w:rsidP="00D57473">
      <w:pPr>
        <w:pBdr>
          <w:top w:val="single" w:sz="4" w:space="1" w:color="auto"/>
        </w:pBdr>
        <w:spacing w:after="0" w:line="240" w:lineRule="auto"/>
        <w:jc w:val="center"/>
        <w:rPr>
          <w:i/>
          <w:szCs w:val="24"/>
          <w:lang w:val="en-GB"/>
        </w:rPr>
      </w:pPr>
    </w:p>
    <w:tbl>
      <w:tblPr>
        <w:tblW w:w="8789" w:type="dxa"/>
        <w:jc w:val="center"/>
        <w:tblLayout w:type="fixed"/>
        <w:tblLook w:val="04A0" w:firstRow="1" w:lastRow="0" w:firstColumn="1" w:lastColumn="0" w:noHBand="0" w:noVBand="1"/>
      </w:tblPr>
      <w:tblGrid>
        <w:gridCol w:w="2732"/>
        <w:gridCol w:w="1629"/>
        <w:gridCol w:w="1691"/>
        <w:gridCol w:w="1701"/>
        <w:gridCol w:w="1036"/>
      </w:tblGrid>
      <w:tr w:rsidR="00870E58" w:rsidRPr="00870E58" w:rsidTr="003C3E99">
        <w:trPr>
          <w:trHeight w:val="20"/>
          <w:jc w:val="center"/>
        </w:trPr>
        <w:tc>
          <w:tcPr>
            <w:tcW w:w="2802" w:type="dxa"/>
            <w:vMerge w:val="restart"/>
            <w:shd w:val="clear" w:color="auto" w:fill="auto"/>
            <w:noWrap/>
            <w:vAlign w:val="center"/>
            <w:hideMark/>
          </w:tcPr>
          <w:p w:rsidR="00870E58" w:rsidRPr="00870E58" w:rsidRDefault="00870E58" w:rsidP="00870E58">
            <w:pPr>
              <w:spacing w:after="0" w:line="240" w:lineRule="auto"/>
              <w:rPr>
                <w:rFonts w:eastAsia="Times New Roman"/>
                <w:b/>
                <w:bCs/>
                <w:sz w:val="22"/>
                <w:lang w:eastAsia="en-GB"/>
              </w:rPr>
            </w:pPr>
            <w:r w:rsidRPr="00870E58">
              <w:rPr>
                <w:rFonts w:eastAsia="Times New Roman"/>
                <w:b/>
                <w:bCs/>
                <w:sz w:val="22"/>
                <w:lang w:eastAsia="en-GB"/>
              </w:rPr>
              <w:t>Taxes </w:t>
            </w:r>
          </w:p>
        </w:tc>
        <w:tc>
          <w:tcPr>
            <w:tcW w:w="1669" w:type="dxa"/>
            <w:shd w:val="clear" w:color="auto" w:fill="auto"/>
            <w:noWrap/>
            <w:hideMark/>
          </w:tcPr>
          <w:p w:rsidR="00870E58" w:rsidRPr="00870E58" w:rsidRDefault="00870E58" w:rsidP="00D57473">
            <w:pPr>
              <w:spacing w:after="0" w:line="240" w:lineRule="auto"/>
              <w:jc w:val="center"/>
              <w:rPr>
                <w:rFonts w:eastAsia="Times New Roman"/>
                <w:b/>
                <w:bCs/>
                <w:sz w:val="22"/>
                <w:lang w:eastAsia="en-GB"/>
              </w:rPr>
            </w:pPr>
            <w:r w:rsidRPr="00870E58">
              <w:rPr>
                <w:rFonts w:eastAsia="Times New Roman"/>
                <w:b/>
                <w:bCs/>
                <w:sz w:val="22"/>
                <w:lang w:eastAsia="en-GB"/>
              </w:rPr>
              <w:t>As of</w:t>
            </w:r>
            <w:r w:rsidR="00D57473">
              <w:rPr>
                <w:rFonts w:eastAsia="Times New Roman"/>
                <w:b/>
                <w:bCs/>
                <w:sz w:val="22"/>
                <w:lang w:eastAsia="en-GB"/>
              </w:rPr>
              <w:t xml:space="preserve"> 30 June 2015</w:t>
            </w:r>
          </w:p>
        </w:tc>
        <w:tc>
          <w:tcPr>
            <w:tcW w:w="1733" w:type="dxa"/>
            <w:shd w:val="clear" w:color="auto" w:fill="auto"/>
            <w:noWrap/>
            <w:hideMark/>
          </w:tcPr>
          <w:p w:rsidR="00870E58" w:rsidRPr="00870E58" w:rsidRDefault="00870E58" w:rsidP="00D57473">
            <w:pPr>
              <w:spacing w:after="0" w:line="240" w:lineRule="auto"/>
              <w:jc w:val="center"/>
              <w:rPr>
                <w:rFonts w:eastAsia="Times New Roman"/>
                <w:b/>
                <w:bCs/>
                <w:sz w:val="22"/>
                <w:lang w:eastAsia="en-GB"/>
              </w:rPr>
            </w:pPr>
            <w:r w:rsidRPr="00870E58">
              <w:rPr>
                <w:rFonts w:eastAsia="Times New Roman"/>
                <w:b/>
                <w:bCs/>
                <w:sz w:val="22"/>
                <w:lang w:eastAsia="en-GB"/>
              </w:rPr>
              <w:t xml:space="preserve">As of 30 June 2016 </w:t>
            </w:r>
          </w:p>
        </w:tc>
        <w:tc>
          <w:tcPr>
            <w:tcW w:w="1743" w:type="dxa"/>
          </w:tcPr>
          <w:p w:rsidR="00870E58" w:rsidRPr="00870E58" w:rsidRDefault="00870E58" w:rsidP="00870E58">
            <w:pPr>
              <w:spacing w:after="0" w:line="240" w:lineRule="auto"/>
              <w:jc w:val="center"/>
              <w:rPr>
                <w:rFonts w:eastAsia="Times New Roman"/>
                <w:b/>
                <w:bCs/>
                <w:sz w:val="22"/>
                <w:lang w:eastAsia="en-GB"/>
              </w:rPr>
            </w:pPr>
            <w:r w:rsidRPr="00870E58">
              <w:rPr>
                <w:rFonts w:eastAsia="Times New Roman"/>
                <w:b/>
                <w:bCs/>
                <w:sz w:val="22"/>
                <w:lang w:eastAsia="en-GB"/>
              </w:rPr>
              <w:t>As of</w:t>
            </w:r>
          </w:p>
          <w:p w:rsidR="00870E58" w:rsidRPr="00870E58" w:rsidRDefault="00870E58" w:rsidP="00D57473">
            <w:pPr>
              <w:spacing w:after="0" w:line="240" w:lineRule="auto"/>
              <w:jc w:val="center"/>
              <w:rPr>
                <w:rFonts w:eastAsia="Times New Roman"/>
                <w:b/>
                <w:bCs/>
                <w:sz w:val="22"/>
                <w:lang w:eastAsia="en-GB"/>
              </w:rPr>
            </w:pPr>
            <w:r w:rsidRPr="00870E58">
              <w:rPr>
                <w:rFonts w:eastAsia="Times New Roman"/>
                <w:b/>
                <w:bCs/>
                <w:sz w:val="22"/>
                <w:lang w:eastAsia="en-GB"/>
              </w:rPr>
              <w:t>30 June 2017</w:t>
            </w:r>
          </w:p>
        </w:tc>
        <w:tc>
          <w:tcPr>
            <w:tcW w:w="1059" w:type="dxa"/>
          </w:tcPr>
          <w:p w:rsidR="00870E58" w:rsidRPr="00870E58" w:rsidRDefault="00870E58" w:rsidP="00870E58">
            <w:pPr>
              <w:spacing w:after="0" w:line="240" w:lineRule="auto"/>
              <w:jc w:val="center"/>
              <w:rPr>
                <w:rFonts w:eastAsia="Times New Roman"/>
                <w:b/>
                <w:bCs/>
                <w:sz w:val="22"/>
                <w:lang w:eastAsia="en-GB"/>
              </w:rPr>
            </w:pPr>
            <w:r w:rsidRPr="00870E58">
              <w:rPr>
                <w:rFonts w:eastAsia="Times New Roman"/>
                <w:b/>
                <w:bCs/>
                <w:sz w:val="22"/>
                <w:lang w:eastAsia="en-GB"/>
              </w:rPr>
              <w:t>% of Total Arrears</w:t>
            </w:r>
          </w:p>
        </w:tc>
      </w:tr>
      <w:tr w:rsidR="00870E58" w:rsidRPr="00870E58" w:rsidTr="003C3E99">
        <w:trPr>
          <w:trHeight w:val="20"/>
          <w:jc w:val="center"/>
        </w:trPr>
        <w:tc>
          <w:tcPr>
            <w:tcW w:w="2802" w:type="dxa"/>
            <w:vMerge/>
            <w:vAlign w:val="center"/>
            <w:hideMark/>
          </w:tcPr>
          <w:p w:rsidR="00870E58" w:rsidRPr="00870E58" w:rsidRDefault="00870E58" w:rsidP="00870E58">
            <w:pPr>
              <w:spacing w:after="0" w:line="240" w:lineRule="auto"/>
              <w:rPr>
                <w:rFonts w:eastAsia="Times New Roman"/>
                <w:b/>
                <w:bCs/>
                <w:sz w:val="22"/>
                <w:lang w:eastAsia="en-GB"/>
              </w:rPr>
            </w:pP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center"/>
              <w:rPr>
                <w:rFonts w:eastAsia="Times New Roman"/>
                <w:b/>
                <w:bCs/>
                <w:sz w:val="22"/>
                <w:lang w:eastAsia="en-GB"/>
              </w:rPr>
            </w:pPr>
            <w:r w:rsidRPr="00870E58">
              <w:rPr>
                <w:rFonts w:eastAsia="Times New Roman"/>
                <w:b/>
                <w:bCs/>
                <w:sz w:val="22"/>
                <w:lang w:eastAsia="en-GB"/>
              </w:rPr>
              <w:t>Rs</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center"/>
              <w:rPr>
                <w:rFonts w:eastAsia="Times New Roman"/>
                <w:b/>
                <w:bCs/>
                <w:sz w:val="22"/>
                <w:lang w:eastAsia="en-GB"/>
              </w:rPr>
            </w:pPr>
            <w:r w:rsidRPr="00870E58">
              <w:rPr>
                <w:rFonts w:eastAsia="Times New Roman"/>
                <w:b/>
                <w:bCs/>
                <w:sz w:val="22"/>
                <w:lang w:eastAsia="en-GB"/>
              </w:rPr>
              <w:t>Rs</w:t>
            </w:r>
          </w:p>
        </w:tc>
        <w:tc>
          <w:tcPr>
            <w:tcW w:w="1743" w:type="dxa"/>
            <w:tcMar>
              <w:bottom w:w="142" w:type="dxa"/>
            </w:tcMar>
          </w:tcPr>
          <w:p w:rsidR="003B2DE0" w:rsidRDefault="003B2DE0" w:rsidP="00870E58">
            <w:pPr>
              <w:spacing w:after="0" w:line="240" w:lineRule="auto"/>
              <w:jc w:val="center"/>
              <w:rPr>
                <w:rFonts w:eastAsia="Times New Roman"/>
                <w:b/>
                <w:bCs/>
                <w:sz w:val="22"/>
                <w:lang w:eastAsia="en-GB"/>
              </w:rPr>
            </w:pPr>
          </w:p>
          <w:p w:rsidR="00870E58" w:rsidRPr="00870E58" w:rsidRDefault="00870E58" w:rsidP="00870E58">
            <w:pPr>
              <w:spacing w:after="0" w:line="240" w:lineRule="auto"/>
              <w:jc w:val="center"/>
              <w:rPr>
                <w:rFonts w:eastAsia="Times New Roman"/>
                <w:b/>
                <w:bCs/>
                <w:sz w:val="22"/>
                <w:lang w:eastAsia="en-GB"/>
              </w:rPr>
            </w:pPr>
            <w:r w:rsidRPr="00870E58">
              <w:rPr>
                <w:rFonts w:eastAsia="Times New Roman"/>
                <w:b/>
                <w:bCs/>
                <w:sz w:val="22"/>
                <w:lang w:eastAsia="en-GB"/>
              </w:rPr>
              <w:t>Rs</w:t>
            </w:r>
          </w:p>
        </w:tc>
        <w:tc>
          <w:tcPr>
            <w:tcW w:w="1059" w:type="dxa"/>
            <w:tcMar>
              <w:bottom w:w="142" w:type="dxa"/>
            </w:tcMar>
          </w:tcPr>
          <w:p w:rsidR="00870E58" w:rsidRPr="00870E58" w:rsidRDefault="003B2DE0" w:rsidP="00870E58">
            <w:pPr>
              <w:spacing w:after="0" w:line="240" w:lineRule="auto"/>
              <w:jc w:val="center"/>
              <w:rPr>
                <w:rFonts w:eastAsia="Times New Roman"/>
                <w:b/>
                <w:bCs/>
                <w:sz w:val="22"/>
                <w:lang w:eastAsia="en-GB"/>
              </w:rPr>
            </w:pPr>
            <w:r>
              <w:rPr>
                <w:rFonts w:eastAsia="Times New Roman"/>
                <w:b/>
                <w:bCs/>
                <w:sz w:val="22"/>
                <w:lang w:eastAsia="en-GB"/>
              </w:rPr>
              <w:t>at June 2017</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3B2DE0" w:rsidP="00870E58">
            <w:pPr>
              <w:spacing w:after="0" w:line="240" w:lineRule="auto"/>
              <w:rPr>
                <w:rFonts w:eastAsia="Times New Roman"/>
                <w:sz w:val="22"/>
                <w:lang w:eastAsia="en-GB"/>
              </w:rPr>
            </w:pPr>
            <w:r>
              <w:rPr>
                <w:rFonts w:eastAsia="Times New Roman"/>
                <w:sz w:val="22"/>
                <w:lang w:eastAsia="en-GB"/>
              </w:rPr>
              <w:t>Income Tax ( Individuals,</w:t>
            </w:r>
            <w:r w:rsidR="00870E58" w:rsidRPr="00870E58">
              <w:rPr>
                <w:rFonts w:eastAsia="Times New Roman"/>
                <w:sz w:val="22"/>
                <w:lang w:eastAsia="en-GB"/>
              </w:rPr>
              <w:t xml:space="preserve"> Companies &amp; Body Corporates)</w:t>
            </w:r>
          </w:p>
        </w:tc>
        <w:tc>
          <w:tcPr>
            <w:tcW w:w="1669" w:type="dxa"/>
            <w:shd w:val="clear" w:color="auto" w:fill="auto"/>
            <w:noWrap/>
            <w:tcMar>
              <w:bottom w:w="142" w:type="dxa"/>
            </w:tcMar>
            <w:vAlign w:val="bottom"/>
            <w:hideMark/>
          </w:tcPr>
          <w:p w:rsidR="00870E58" w:rsidRPr="00870E58" w:rsidRDefault="00870E58" w:rsidP="00D57473">
            <w:pPr>
              <w:spacing w:after="0" w:line="240" w:lineRule="auto"/>
              <w:jc w:val="right"/>
              <w:rPr>
                <w:rFonts w:eastAsia="Times New Roman"/>
                <w:sz w:val="22"/>
                <w:lang w:eastAsia="en-GB"/>
              </w:rPr>
            </w:pPr>
            <w:r w:rsidRPr="00870E58">
              <w:rPr>
                <w:rFonts w:eastAsia="Times New Roman"/>
                <w:sz w:val="22"/>
                <w:lang w:eastAsia="en-GB"/>
              </w:rPr>
              <w:t>2,279,207,916</w:t>
            </w:r>
          </w:p>
        </w:tc>
        <w:tc>
          <w:tcPr>
            <w:tcW w:w="1733" w:type="dxa"/>
            <w:shd w:val="clear" w:color="auto" w:fill="auto"/>
            <w:noWrap/>
            <w:tcMar>
              <w:bottom w:w="142" w:type="dxa"/>
            </w:tcMar>
            <w:vAlign w:val="bottom"/>
            <w:hideMark/>
          </w:tcPr>
          <w:p w:rsidR="00870E58" w:rsidRPr="00870E58" w:rsidRDefault="00870E58" w:rsidP="00D57473">
            <w:pPr>
              <w:spacing w:after="0" w:line="240" w:lineRule="auto"/>
              <w:jc w:val="right"/>
              <w:rPr>
                <w:rFonts w:eastAsia="Times New Roman"/>
                <w:sz w:val="22"/>
                <w:lang w:eastAsia="en-GB"/>
              </w:rPr>
            </w:pPr>
            <w:r w:rsidRPr="00870E58">
              <w:rPr>
                <w:rFonts w:eastAsia="Times New Roman"/>
                <w:sz w:val="22"/>
                <w:lang w:eastAsia="en-GB"/>
              </w:rPr>
              <w:t>2,698,626,602</w:t>
            </w:r>
          </w:p>
        </w:tc>
        <w:tc>
          <w:tcPr>
            <w:tcW w:w="1743" w:type="dxa"/>
            <w:tcMar>
              <w:bottom w:w="142" w:type="dxa"/>
            </w:tcMar>
            <w:vAlign w:val="bottom"/>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3,433,219,577</w:t>
            </w:r>
          </w:p>
        </w:tc>
        <w:tc>
          <w:tcPr>
            <w:tcW w:w="1059" w:type="dxa"/>
            <w:tcMar>
              <w:bottom w:w="142" w:type="dxa"/>
            </w:tcMar>
            <w:vAlign w:val="bottom"/>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46.56</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 xml:space="preserve">Value Added Tax </w:t>
            </w:r>
          </w:p>
        </w:tc>
        <w:tc>
          <w:tcPr>
            <w:tcW w:w="1669" w:type="dxa"/>
            <w:shd w:val="clear" w:color="auto" w:fill="auto"/>
            <w:noWrap/>
            <w:tcMar>
              <w:bottom w:w="142" w:type="dxa"/>
            </w:tcMar>
            <w:vAlign w:val="bottom"/>
            <w:hideMark/>
          </w:tcPr>
          <w:p w:rsidR="00870E58" w:rsidRPr="00870E58" w:rsidRDefault="00870E58" w:rsidP="00D57473">
            <w:pPr>
              <w:spacing w:after="0" w:line="240" w:lineRule="auto"/>
              <w:jc w:val="right"/>
              <w:rPr>
                <w:rFonts w:eastAsia="Times New Roman"/>
                <w:sz w:val="22"/>
                <w:lang w:eastAsia="en-GB"/>
              </w:rPr>
            </w:pPr>
            <w:r w:rsidRPr="00870E58">
              <w:rPr>
                <w:rFonts w:eastAsia="Times New Roman"/>
                <w:sz w:val="22"/>
                <w:lang w:eastAsia="en-GB"/>
              </w:rPr>
              <w:t>2,446,532,741</w:t>
            </w:r>
          </w:p>
        </w:tc>
        <w:tc>
          <w:tcPr>
            <w:tcW w:w="1733" w:type="dxa"/>
            <w:shd w:val="clear" w:color="auto" w:fill="auto"/>
            <w:noWrap/>
            <w:tcMar>
              <w:bottom w:w="142" w:type="dxa"/>
            </w:tcMar>
            <w:vAlign w:val="bottom"/>
            <w:hideMark/>
          </w:tcPr>
          <w:p w:rsidR="00870E58" w:rsidRPr="00870E58" w:rsidRDefault="00870E58" w:rsidP="00D57473">
            <w:pPr>
              <w:spacing w:after="0" w:line="240" w:lineRule="auto"/>
              <w:jc w:val="right"/>
              <w:rPr>
                <w:rFonts w:eastAsia="Times New Roman"/>
                <w:sz w:val="22"/>
                <w:lang w:eastAsia="en-GB"/>
              </w:rPr>
            </w:pPr>
            <w:r w:rsidRPr="00870E58">
              <w:rPr>
                <w:rFonts w:eastAsia="Times New Roman"/>
                <w:sz w:val="22"/>
                <w:lang w:eastAsia="en-GB"/>
              </w:rPr>
              <w:t>2,580,182,097</w:t>
            </w:r>
          </w:p>
        </w:tc>
        <w:tc>
          <w:tcPr>
            <w:tcW w:w="1743"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3,316,573,419</w:t>
            </w:r>
          </w:p>
        </w:tc>
        <w:tc>
          <w:tcPr>
            <w:tcW w:w="1059"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44.98</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Betting &amp; Gaming Tax</w:t>
            </w: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210,853,007 </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186,756,326 </w:t>
            </w:r>
          </w:p>
        </w:tc>
        <w:tc>
          <w:tcPr>
            <w:tcW w:w="1743" w:type="dxa"/>
            <w:tcMar>
              <w:bottom w:w="142" w:type="dxa"/>
            </w:tcMar>
          </w:tcPr>
          <w:p w:rsidR="00870E58" w:rsidRPr="00870E58" w:rsidRDefault="00870E58" w:rsidP="00870E58">
            <w:pPr>
              <w:spacing w:after="0" w:line="240" w:lineRule="auto"/>
              <w:jc w:val="right"/>
              <w:rPr>
                <w:rFonts w:eastAsia="Times New Roman"/>
                <w:color w:val="FF0000"/>
                <w:sz w:val="22"/>
                <w:lang w:eastAsia="en-GB"/>
              </w:rPr>
            </w:pPr>
            <w:r w:rsidRPr="00870E58">
              <w:rPr>
                <w:rFonts w:eastAsia="Times New Roman"/>
                <w:sz w:val="22"/>
                <w:lang w:eastAsia="en-GB"/>
              </w:rPr>
              <w:t>166,256,204</w:t>
            </w:r>
          </w:p>
        </w:tc>
        <w:tc>
          <w:tcPr>
            <w:tcW w:w="1059"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2.25</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Environment Protection Fee (EPF)</w:t>
            </w: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29,824,374 </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 16,527,801 </w:t>
            </w:r>
          </w:p>
        </w:tc>
        <w:tc>
          <w:tcPr>
            <w:tcW w:w="1743" w:type="dxa"/>
            <w:tcMar>
              <w:bottom w:w="142" w:type="dxa"/>
            </w:tcMar>
            <w:vAlign w:val="bottom"/>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44,015,303</w:t>
            </w:r>
          </w:p>
        </w:tc>
        <w:tc>
          <w:tcPr>
            <w:tcW w:w="1059" w:type="dxa"/>
            <w:tcMar>
              <w:bottom w:w="142" w:type="dxa"/>
            </w:tcMar>
            <w:vAlign w:val="bottom"/>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0.6</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Pay As You Earn (PAYE)</w:t>
            </w: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152,840,157 </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164,874,596 </w:t>
            </w:r>
          </w:p>
        </w:tc>
        <w:tc>
          <w:tcPr>
            <w:tcW w:w="1743"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183,402,662</w:t>
            </w:r>
          </w:p>
        </w:tc>
        <w:tc>
          <w:tcPr>
            <w:tcW w:w="1059" w:type="dxa"/>
            <w:tcMar>
              <w:bottom w:w="142" w:type="dxa"/>
            </w:tcMar>
          </w:tcPr>
          <w:p w:rsidR="00870E58" w:rsidRPr="00870E58" w:rsidRDefault="0079433D" w:rsidP="00870E58">
            <w:pPr>
              <w:spacing w:after="0" w:line="240" w:lineRule="auto"/>
              <w:jc w:val="right"/>
              <w:rPr>
                <w:rFonts w:eastAsia="Times New Roman"/>
                <w:sz w:val="22"/>
                <w:lang w:eastAsia="en-GB"/>
              </w:rPr>
            </w:pPr>
            <w:r>
              <w:rPr>
                <w:rFonts w:eastAsia="Times New Roman"/>
                <w:sz w:val="22"/>
                <w:lang w:eastAsia="en-GB"/>
              </w:rPr>
              <w:t>2.48</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TDS</w:t>
            </w: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101,939,241 </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103,788,901 </w:t>
            </w:r>
          </w:p>
        </w:tc>
        <w:tc>
          <w:tcPr>
            <w:tcW w:w="1743"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116,726,415</w:t>
            </w:r>
          </w:p>
        </w:tc>
        <w:tc>
          <w:tcPr>
            <w:tcW w:w="1059"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1.58</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sz w:val="22"/>
                <w:lang w:eastAsia="en-GB"/>
              </w:rPr>
            </w:pPr>
            <w:r w:rsidRPr="00870E58">
              <w:rPr>
                <w:rFonts w:eastAsia="Times New Roman"/>
                <w:sz w:val="22"/>
                <w:lang w:eastAsia="en-GB"/>
              </w:rPr>
              <w:t>Others</w:t>
            </w:r>
          </w:p>
        </w:tc>
        <w:tc>
          <w:tcPr>
            <w:tcW w:w="1669"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76,869,266 </w:t>
            </w:r>
          </w:p>
        </w:tc>
        <w:tc>
          <w:tcPr>
            <w:tcW w:w="1733" w:type="dxa"/>
            <w:shd w:val="clear" w:color="auto" w:fill="auto"/>
            <w:noWrap/>
            <w:tcMar>
              <w:bottom w:w="142" w:type="dxa"/>
            </w:tcMar>
            <w:vAlign w:val="bottom"/>
            <w:hideMark/>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 xml:space="preserve">92,906,036 </w:t>
            </w:r>
          </w:p>
        </w:tc>
        <w:tc>
          <w:tcPr>
            <w:tcW w:w="1743"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111,802,904</w:t>
            </w:r>
          </w:p>
        </w:tc>
        <w:tc>
          <w:tcPr>
            <w:tcW w:w="1059"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1.52</w:t>
            </w:r>
          </w:p>
        </w:tc>
      </w:tr>
      <w:tr w:rsidR="00870E58" w:rsidRPr="00870E58" w:rsidTr="003C3E99">
        <w:trPr>
          <w:trHeight w:val="20"/>
          <w:jc w:val="center"/>
        </w:trPr>
        <w:tc>
          <w:tcPr>
            <w:tcW w:w="2802"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b/>
                <w:i/>
                <w:sz w:val="22"/>
                <w:lang w:eastAsia="en-GB"/>
              </w:rPr>
            </w:pPr>
            <w:r w:rsidRPr="00870E58">
              <w:rPr>
                <w:rFonts w:eastAsia="Times New Roman"/>
                <w:b/>
                <w:i/>
                <w:sz w:val="22"/>
                <w:lang w:eastAsia="en-GB"/>
              </w:rPr>
              <w:t>Sub Total</w:t>
            </w:r>
          </w:p>
        </w:tc>
        <w:tc>
          <w:tcPr>
            <w:tcW w:w="1669" w:type="dxa"/>
            <w:shd w:val="clear" w:color="auto" w:fill="auto"/>
            <w:noWrap/>
            <w:tcMar>
              <w:bottom w:w="142" w:type="dxa"/>
            </w:tcMar>
            <w:vAlign w:val="bottom"/>
            <w:hideMark/>
          </w:tcPr>
          <w:p w:rsidR="00870E58" w:rsidRPr="00870E58" w:rsidRDefault="00B505AC" w:rsidP="00870E58">
            <w:pPr>
              <w:spacing w:after="0" w:line="240" w:lineRule="auto"/>
              <w:jc w:val="right"/>
              <w:rPr>
                <w:rFonts w:eastAsia="Times New Roman"/>
                <w:b/>
                <w:i/>
                <w:sz w:val="22"/>
                <w:lang w:eastAsia="en-GB"/>
              </w:rPr>
            </w:pPr>
            <w:r w:rsidRPr="00870E58">
              <w:rPr>
                <w:rFonts w:eastAsia="Times New Roman"/>
                <w:b/>
                <w:i/>
                <w:sz w:val="22"/>
                <w:lang w:eastAsia="en-GB"/>
              </w:rPr>
              <w:fldChar w:fldCharType="begin"/>
            </w:r>
            <w:r w:rsidR="00870E58" w:rsidRPr="00870E58">
              <w:rPr>
                <w:rFonts w:eastAsia="Times New Roman"/>
                <w:b/>
                <w:i/>
                <w:sz w:val="22"/>
                <w:lang w:eastAsia="en-GB"/>
              </w:rPr>
              <w:instrText xml:space="preserve"> =SUM(ABOVE) </w:instrText>
            </w:r>
            <w:r w:rsidRPr="00870E58">
              <w:rPr>
                <w:rFonts w:eastAsia="Times New Roman"/>
                <w:b/>
                <w:i/>
                <w:sz w:val="22"/>
                <w:lang w:eastAsia="en-GB"/>
              </w:rPr>
              <w:fldChar w:fldCharType="separate"/>
            </w:r>
            <w:r w:rsidR="00870E58" w:rsidRPr="00870E58">
              <w:rPr>
                <w:rFonts w:eastAsia="Times New Roman"/>
                <w:b/>
                <w:i/>
                <w:noProof/>
                <w:sz w:val="22"/>
                <w:lang w:eastAsia="en-GB"/>
              </w:rPr>
              <w:t>5,298,066,702</w:t>
            </w:r>
            <w:r w:rsidRPr="00870E58">
              <w:rPr>
                <w:rFonts w:eastAsia="Times New Roman"/>
                <w:b/>
                <w:i/>
                <w:sz w:val="22"/>
                <w:lang w:eastAsia="en-GB"/>
              </w:rPr>
              <w:fldChar w:fldCharType="end"/>
            </w:r>
          </w:p>
        </w:tc>
        <w:tc>
          <w:tcPr>
            <w:tcW w:w="1733" w:type="dxa"/>
            <w:shd w:val="clear" w:color="auto" w:fill="auto"/>
            <w:noWrap/>
            <w:tcMar>
              <w:bottom w:w="142" w:type="dxa"/>
            </w:tcMar>
            <w:vAlign w:val="bottom"/>
            <w:hideMark/>
          </w:tcPr>
          <w:p w:rsidR="00870E58" w:rsidRPr="00870E58" w:rsidRDefault="00B505AC" w:rsidP="00870E58">
            <w:pPr>
              <w:spacing w:after="0" w:line="240" w:lineRule="auto"/>
              <w:jc w:val="right"/>
              <w:rPr>
                <w:rFonts w:eastAsia="Times New Roman"/>
                <w:b/>
                <w:i/>
                <w:sz w:val="22"/>
                <w:lang w:eastAsia="en-GB"/>
              </w:rPr>
            </w:pPr>
            <w:r w:rsidRPr="00870E58">
              <w:rPr>
                <w:rFonts w:eastAsia="Times New Roman"/>
                <w:b/>
                <w:i/>
                <w:sz w:val="22"/>
                <w:lang w:eastAsia="en-GB"/>
              </w:rPr>
              <w:fldChar w:fldCharType="begin"/>
            </w:r>
            <w:r w:rsidR="00870E58" w:rsidRPr="00870E58">
              <w:rPr>
                <w:rFonts w:eastAsia="Times New Roman"/>
                <w:b/>
                <w:i/>
                <w:sz w:val="22"/>
                <w:lang w:eastAsia="en-GB"/>
              </w:rPr>
              <w:instrText xml:space="preserve"> =SUM(ABOVE) </w:instrText>
            </w:r>
            <w:r w:rsidRPr="00870E58">
              <w:rPr>
                <w:rFonts w:eastAsia="Times New Roman"/>
                <w:b/>
                <w:i/>
                <w:sz w:val="22"/>
                <w:lang w:eastAsia="en-GB"/>
              </w:rPr>
              <w:fldChar w:fldCharType="separate"/>
            </w:r>
            <w:r w:rsidR="00870E58" w:rsidRPr="00870E58">
              <w:rPr>
                <w:rFonts w:eastAsia="Times New Roman"/>
                <w:b/>
                <w:i/>
                <w:noProof/>
                <w:sz w:val="22"/>
                <w:lang w:eastAsia="en-GB"/>
              </w:rPr>
              <w:t>5,843,662,359</w:t>
            </w:r>
            <w:r w:rsidRPr="00870E58">
              <w:rPr>
                <w:rFonts w:eastAsia="Times New Roman"/>
                <w:b/>
                <w:i/>
                <w:sz w:val="22"/>
                <w:lang w:eastAsia="en-GB"/>
              </w:rPr>
              <w:fldChar w:fldCharType="end"/>
            </w:r>
          </w:p>
        </w:tc>
        <w:tc>
          <w:tcPr>
            <w:tcW w:w="1743" w:type="dxa"/>
            <w:tcMar>
              <w:bottom w:w="142" w:type="dxa"/>
            </w:tcMar>
          </w:tcPr>
          <w:p w:rsidR="00870E58" w:rsidRPr="00870E58" w:rsidRDefault="0079433D" w:rsidP="00870E58">
            <w:pPr>
              <w:spacing w:after="0" w:line="240" w:lineRule="auto"/>
              <w:jc w:val="right"/>
              <w:rPr>
                <w:rFonts w:eastAsia="Times New Roman"/>
                <w:b/>
                <w:i/>
                <w:sz w:val="22"/>
                <w:lang w:eastAsia="en-GB"/>
              </w:rPr>
            </w:pPr>
            <w:r>
              <w:rPr>
                <w:rFonts w:eastAsia="Times New Roman"/>
                <w:b/>
                <w:i/>
                <w:sz w:val="22"/>
                <w:lang w:eastAsia="en-GB"/>
              </w:rPr>
              <w:t>7,371,996,484</w:t>
            </w:r>
          </w:p>
        </w:tc>
        <w:tc>
          <w:tcPr>
            <w:tcW w:w="1059" w:type="dxa"/>
            <w:tcMar>
              <w:bottom w:w="142" w:type="dxa"/>
            </w:tcMar>
          </w:tcPr>
          <w:p w:rsidR="00870E58" w:rsidRPr="00870E58" w:rsidRDefault="00870E58" w:rsidP="00870E58">
            <w:pPr>
              <w:spacing w:after="0" w:line="240" w:lineRule="auto"/>
              <w:jc w:val="right"/>
              <w:rPr>
                <w:rFonts w:eastAsia="Times New Roman"/>
                <w:b/>
                <w:i/>
                <w:sz w:val="22"/>
                <w:lang w:eastAsia="en-GB"/>
              </w:rPr>
            </w:pPr>
          </w:p>
        </w:tc>
      </w:tr>
      <w:tr w:rsidR="00870E58" w:rsidRPr="00870E58" w:rsidTr="003C3E99">
        <w:trPr>
          <w:trHeight w:val="20"/>
          <w:jc w:val="center"/>
        </w:trPr>
        <w:tc>
          <w:tcPr>
            <w:tcW w:w="2802" w:type="dxa"/>
            <w:shd w:val="clear" w:color="auto" w:fill="auto"/>
            <w:noWrap/>
            <w:tcMar>
              <w:bottom w:w="142" w:type="dxa"/>
            </w:tcMar>
            <w:hideMark/>
          </w:tcPr>
          <w:p w:rsidR="00870E58" w:rsidRPr="00870E58" w:rsidRDefault="00870E58" w:rsidP="003C3E99">
            <w:pPr>
              <w:spacing w:after="0" w:line="240" w:lineRule="auto"/>
              <w:rPr>
                <w:rFonts w:eastAsia="Times New Roman"/>
                <w:sz w:val="22"/>
                <w:lang w:eastAsia="en-GB"/>
              </w:rPr>
            </w:pPr>
            <w:r w:rsidRPr="00870E58">
              <w:rPr>
                <w:rFonts w:eastAsia="Times New Roman"/>
                <w:sz w:val="22"/>
                <w:lang w:eastAsia="en-GB"/>
              </w:rPr>
              <w:t>Sales Tax</w:t>
            </w:r>
          </w:p>
        </w:tc>
        <w:tc>
          <w:tcPr>
            <w:tcW w:w="1669" w:type="dxa"/>
            <w:shd w:val="clear" w:color="auto" w:fill="auto"/>
            <w:noWrap/>
            <w:tcMar>
              <w:bottom w:w="142" w:type="dxa"/>
            </w:tcMar>
            <w:hideMark/>
          </w:tcPr>
          <w:p w:rsidR="00870E58" w:rsidRPr="00870E58" w:rsidRDefault="00870E58" w:rsidP="003C3E99">
            <w:pPr>
              <w:spacing w:after="0" w:line="240" w:lineRule="auto"/>
              <w:jc w:val="right"/>
              <w:rPr>
                <w:rFonts w:eastAsia="Times New Roman"/>
                <w:sz w:val="22"/>
                <w:lang w:eastAsia="en-GB"/>
              </w:rPr>
            </w:pPr>
            <w:r w:rsidRPr="00870E58">
              <w:rPr>
                <w:rFonts w:eastAsia="Times New Roman"/>
                <w:sz w:val="22"/>
                <w:lang w:eastAsia="en-GB"/>
              </w:rPr>
              <w:t>2,007,014</w:t>
            </w:r>
          </w:p>
        </w:tc>
        <w:tc>
          <w:tcPr>
            <w:tcW w:w="1733" w:type="dxa"/>
            <w:shd w:val="clear" w:color="auto" w:fill="auto"/>
            <w:noWrap/>
            <w:tcMar>
              <w:bottom w:w="142" w:type="dxa"/>
            </w:tcMar>
            <w:hideMark/>
          </w:tcPr>
          <w:p w:rsidR="00870E58" w:rsidRPr="00870E58" w:rsidRDefault="00870E58" w:rsidP="003C3E99">
            <w:pPr>
              <w:spacing w:after="0" w:line="240" w:lineRule="auto"/>
              <w:jc w:val="right"/>
              <w:rPr>
                <w:rFonts w:eastAsia="Times New Roman"/>
                <w:sz w:val="22"/>
                <w:lang w:eastAsia="en-GB"/>
              </w:rPr>
            </w:pPr>
            <w:r w:rsidRPr="00870E58">
              <w:rPr>
                <w:rFonts w:eastAsia="Times New Roman"/>
                <w:sz w:val="22"/>
                <w:lang w:eastAsia="en-GB"/>
              </w:rPr>
              <w:t>2,007,014</w:t>
            </w:r>
          </w:p>
        </w:tc>
        <w:tc>
          <w:tcPr>
            <w:tcW w:w="1743"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2,007,014</w:t>
            </w:r>
          </w:p>
        </w:tc>
        <w:tc>
          <w:tcPr>
            <w:tcW w:w="1059" w:type="dxa"/>
            <w:tcMar>
              <w:bottom w:w="142" w:type="dxa"/>
            </w:tcMar>
          </w:tcPr>
          <w:p w:rsidR="00870E58" w:rsidRPr="00870E58" w:rsidRDefault="00870E58" w:rsidP="00870E58">
            <w:pPr>
              <w:spacing w:after="0" w:line="240" w:lineRule="auto"/>
              <w:jc w:val="right"/>
              <w:rPr>
                <w:rFonts w:eastAsia="Times New Roman"/>
                <w:sz w:val="22"/>
                <w:lang w:eastAsia="en-GB"/>
              </w:rPr>
            </w:pPr>
            <w:r w:rsidRPr="00870E58">
              <w:rPr>
                <w:rFonts w:eastAsia="Times New Roman"/>
                <w:sz w:val="22"/>
                <w:lang w:eastAsia="en-GB"/>
              </w:rPr>
              <w:t>0.03</w:t>
            </w:r>
          </w:p>
        </w:tc>
      </w:tr>
      <w:tr w:rsidR="00870E58" w:rsidRPr="00870E58" w:rsidTr="003C3E99">
        <w:trPr>
          <w:trHeight w:val="20"/>
          <w:jc w:val="center"/>
        </w:trPr>
        <w:tc>
          <w:tcPr>
            <w:tcW w:w="2802" w:type="dxa"/>
            <w:shd w:val="clear" w:color="auto" w:fill="auto"/>
            <w:noWrap/>
            <w:vAlign w:val="bottom"/>
            <w:hideMark/>
          </w:tcPr>
          <w:p w:rsidR="00870E58" w:rsidRPr="00870E58" w:rsidRDefault="00870E58" w:rsidP="003C3E99">
            <w:pPr>
              <w:spacing w:after="0" w:line="240" w:lineRule="auto"/>
              <w:rPr>
                <w:rFonts w:eastAsia="Times New Roman"/>
                <w:b/>
                <w:sz w:val="22"/>
                <w:lang w:eastAsia="en-GB"/>
              </w:rPr>
            </w:pPr>
            <w:r w:rsidRPr="00870E58">
              <w:rPr>
                <w:rFonts w:eastAsia="Times New Roman"/>
                <w:b/>
                <w:sz w:val="22"/>
                <w:lang w:eastAsia="en-GB"/>
              </w:rPr>
              <w:t>Total</w:t>
            </w:r>
          </w:p>
        </w:tc>
        <w:tc>
          <w:tcPr>
            <w:tcW w:w="1669" w:type="dxa"/>
            <w:shd w:val="clear" w:color="auto" w:fill="auto"/>
            <w:noWrap/>
            <w:vAlign w:val="bottom"/>
            <w:hideMark/>
          </w:tcPr>
          <w:p w:rsidR="00870E58" w:rsidRPr="00870E58" w:rsidRDefault="0079433D" w:rsidP="003C3E99">
            <w:pPr>
              <w:spacing w:after="0" w:line="240" w:lineRule="auto"/>
              <w:jc w:val="right"/>
              <w:rPr>
                <w:rFonts w:eastAsia="Times New Roman"/>
                <w:sz w:val="22"/>
                <w:lang w:eastAsia="en-GB"/>
              </w:rPr>
            </w:pPr>
            <w:r>
              <w:rPr>
                <w:rFonts w:eastAsia="Times New Roman"/>
                <w:b/>
                <w:bCs/>
                <w:sz w:val="22"/>
                <w:lang w:eastAsia="en-GB"/>
              </w:rPr>
              <w:t>5,300,073,716</w:t>
            </w:r>
          </w:p>
        </w:tc>
        <w:tc>
          <w:tcPr>
            <w:tcW w:w="1733" w:type="dxa"/>
            <w:shd w:val="clear" w:color="auto" w:fill="auto"/>
            <w:noWrap/>
            <w:vAlign w:val="bottom"/>
            <w:hideMark/>
          </w:tcPr>
          <w:p w:rsidR="00870E58" w:rsidRPr="00870E58" w:rsidRDefault="00870E58" w:rsidP="003C3E99">
            <w:pPr>
              <w:spacing w:after="0" w:line="240" w:lineRule="auto"/>
              <w:jc w:val="right"/>
              <w:rPr>
                <w:rFonts w:eastAsia="Times New Roman"/>
                <w:sz w:val="22"/>
                <w:lang w:eastAsia="en-GB"/>
              </w:rPr>
            </w:pPr>
            <w:r w:rsidRPr="00870E58">
              <w:rPr>
                <w:rFonts w:eastAsia="Times New Roman"/>
                <w:b/>
                <w:bCs/>
                <w:sz w:val="22"/>
                <w:lang w:eastAsia="en-GB"/>
              </w:rPr>
              <w:t>5,845,669,373</w:t>
            </w:r>
          </w:p>
        </w:tc>
        <w:tc>
          <w:tcPr>
            <w:tcW w:w="1743" w:type="dxa"/>
          </w:tcPr>
          <w:p w:rsidR="00870E58" w:rsidRPr="00870E58" w:rsidRDefault="00870E58" w:rsidP="003C3E99">
            <w:pPr>
              <w:spacing w:after="0" w:line="240" w:lineRule="auto"/>
              <w:jc w:val="right"/>
              <w:rPr>
                <w:rFonts w:eastAsia="Times New Roman"/>
                <w:b/>
                <w:bCs/>
                <w:sz w:val="22"/>
                <w:lang w:eastAsia="en-GB"/>
              </w:rPr>
            </w:pPr>
            <w:r w:rsidRPr="00870E58">
              <w:rPr>
                <w:rFonts w:eastAsia="Times New Roman"/>
                <w:b/>
                <w:bCs/>
                <w:sz w:val="22"/>
                <w:lang w:eastAsia="en-GB"/>
              </w:rPr>
              <w:t>7,374,003,498</w:t>
            </w:r>
          </w:p>
        </w:tc>
        <w:tc>
          <w:tcPr>
            <w:tcW w:w="1059" w:type="dxa"/>
          </w:tcPr>
          <w:p w:rsidR="00870E58" w:rsidRPr="00870E58" w:rsidRDefault="00870E58" w:rsidP="00870E58">
            <w:pPr>
              <w:spacing w:after="0" w:line="240" w:lineRule="auto"/>
              <w:jc w:val="right"/>
              <w:rPr>
                <w:rFonts w:eastAsia="Times New Roman"/>
                <w:bCs/>
                <w:sz w:val="22"/>
                <w:lang w:eastAsia="en-GB"/>
              </w:rPr>
            </w:pPr>
          </w:p>
        </w:tc>
      </w:tr>
    </w:tbl>
    <w:p w:rsidR="003C3E99" w:rsidRDefault="003C3E99" w:rsidP="003C3E99">
      <w:pPr>
        <w:pBdr>
          <w:bottom w:val="single" w:sz="4" w:space="1" w:color="auto"/>
        </w:pBdr>
        <w:spacing w:after="0" w:line="259" w:lineRule="auto"/>
        <w:rPr>
          <w:rFonts w:eastAsia="Times New Roman"/>
          <w:i/>
          <w:sz w:val="20"/>
          <w:szCs w:val="20"/>
          <w:bdr w:val="none" w:sz="0" w:space="0" w:color="auto" w:frame="1"/>
        </w:rPr>
      </w:pPr>
    </w:p>
    <w:p w:rsidR="00870E58" w:rsidRPr="00870E58" w:rsidRDefault="00870E58" w:rsidP="00870E58">
      <w:pPr>
        <w:spacing w:after="160" w:line="259" w:lineRule="auto"/>
        <w:rPr>
          <w:i/>
          <w:szCs w:val="24"/>
          <w:u w:val="single"/>
          <w:lang w:val="en-GB"/>
        </w:rPr>
      </w:pPr>
      <w:r w:rsidRPr="00870E58">
        <w:rPr>
          <w:rFonts w:eastAsia="Times New Roman"/>
          <w:i/>
          <w:sz w:val="20"/>
          <w:szCs w:val="20"/>
          <w:bdr w:val="none" w:sz="0" w:space="0" w:color="auto" w:frame="1"/>
        </w:rPr>
        <w:t>Source: Accountant General’s Report</w:t>
      </w:r>
    </w:p>
    <w:p w:rsidR="00870E58" w:rsidRPr="00870E58" w:rsidRDefault="00870E58" w:rsidP="00870E58">
      <w:pPr>
        <w:spacing w:after="160" w:line="259" w:lineRule="auto"/>
        <w:rPr>
          <w:i/>
          <w:szCs w:val="24"/>
          <w:lang w:val="en-GB"/>
        </w:rPr>
      </w:pPr>
    </w:p>
    <w:p w:rsidR="00870E58" w:rsidRPr="00870E58" w:rsidRDefault="00870E58" w:rsidP="00870E58">
      <w:pPr>
        <w:spacing w:after="160" w:line="259" w:lineRule="auto"/>
        <w:rPr>
          <w:i/>
          <w:szCs w:val="24"/>
          <w:lang w:val="en-GB"/>
        </w:rPr>
      </w:pPr>
    </w:p>
    <w:p w:rsidR="00D36956" w:rsidRDefault="00D36956">
      <w:pPr>
        <w:rPr>
          <w:i/>
          <w:szCs w:val="24"/>
          <w:lang w:val="en-GB"/>
        </w:rPr>
      </w:pPr>
      <w:r>
        <w:rPr>
          <w:i/>
          <w:szCs w:val="24"/>
          <w:lang w:val="en-GB"/>
        </w:rPr>
        <w:br w:type="page"/>
      </w:r>
    </w:p>
    <w:p w:rsidR="00870E58" w:rsidRPr="00B540A8" w:rsidRDefault="00870E58" w:rsidP="00D36956">
      <w:pPr>
        <w:spacing w:after="0" w:line="240" w:lineRule="auto"/>
        <w:rPr>
          <w:b/>
          <w:i/>
          <w:szCs w:val="24"/>
          <w:lang w:val="en-GB"/>
        </w:rPr>
      </w:pPr>
      <w:r w:rsidRPr="00B540A8">
        <w:rPr>
          <w:b/>
          <w:i/>
          <w:szCs w:val="24"/>
          <w:lang w:val="en-GB"/>
        </w:rPr>
        <w:lastRenderedPageBreak/>
        <w:t>Observations</w:t>
      </w:r>
    </w:p>
    <w:p w:rsidR="00D36956" w:rsidRPr="00870E58" w:rsidRDefault="00D36956" w:rsidP="00D36956">
      <w:pPr>
        <w:spacing w:after="0" w:line="240" w:lineRule="auto"/>
        <w:rPr>
          <w:i/>
          <w:szCs w:val="24"/>
          <w:lang w:val="en-GB"/>
        </w:rPr>
      </w:pPr>
    </w:p>
    <w:p w:rsidR="00870E58" w:rsidRPr="00870E58" w:rsidRDefault="00870E58" w:rsidP="00B628CB">
      <w:pPr>
        <w:numPr>
          <w:ilvl w:val="0"/>
          <w:numId w:val="4"/>
        </w:numPr>
        <w:autoSpaceDE w:val="0"/>
        <w:autoSpaceDN w:val="0"/>
        <w:adjustRightInd w:val="0"/>
        <w:spacing w:after="0" w:line="240" w:lineRule="auto"/>
        <w:contextualSpacing/>
        <w:jc w:val="both"/>
        <w:rPr>
          <w:szCs w:val="24"/>
        </w:rPr>
      </w:pPr>
      <w:r w:rsidRPr="00870E58">
        <w:rPr>
          <w:rFonts w:eastAsia="Times New Roman"/>
          <w:i/>
          <w:szCs w:val="24"/>
          <w:bdr w:val="none" w:sz="0" w:space="0" w:color="auto" w:frame="1"/>
        </w:rPr>
        <w:t>Main Debtors</w:t>
      </w:r>
      <w:r w:rsidRPr="00870E58">
        <w:rPr>
          <w:rFonts w:eastAsia="Times New Roman"/>
          <w:szCs w:val="24"/>
          <w:bdr w:val="none" w:sz="0" w:space="0" w:color="auto" w:frame="1"/>
        </w:rPr>
        <w:t>.</w:t>
      </w:r>
      <w:r w:rsidR="003B2DE0">
        <w:rPr>
          <w:rFonts w:eastAsia="Times New Roman"/>
          <w:szCs w:val="24"/>
          <w:bdr w:val="none" w:sz="0" w:space="0" w:color="auto" w:frame="1"/>
        </w:rPr>
        <w:t xml:space="preserve"> </w:t>
      </w:r>
      <w:r w:rsidRPr="00870E58">
        <w:rPr>
          <w:rFonts w:eastAsia="Times New Roman"/>
          <w:szCs w:val="24"/>
          <w:bdr w:val="none" w:sz="0" w:space="0" w:color="auto" w:frame="1"/>
        </w:rPr>
        <w:t>As of 30 June 2017, debts pertaining to Income Tax (Individuals</w:t>
      </w:r>
      <w:r w:rsidR="003B2DE0">
        <w:rPr>
          <w:rFonts w:eastAsia="Times New Roman"/>
          <w:szCs w:val="24"/>
          <w:bdr w:val="none" w:sz="0" w:space="0" w:color="auto" w:frame="1"/>
        </w:rPr>
        <w:t>,</w:t>
      </w:r>
      <w:r w:rsidRPr="00870E58">
        <w:rPr>
          <w:rFonts w:eastAsia="Times New Roman"/>
          <w:szCs w:val="24"/>
          <w:bdr w:val="none" w:sz="0" w:space="0" w:color="auto" w:frame="1"/>
        </w:rPr>
        <w:t xml:space="preserve"> </w:t>
      </w:r>
      <w:r w:rsidR="003B2DE0">
        <w:rPr>
          <w:rFonts w:eastAsia="Times New Roman"/>
          <w:szCs w:val="24"/>
          <w:bdr w:val="none" w:sz="0" w:space="0" w:color="auto" w:frame="1"/>
        </w:rPr>
        <w:t>Companies &amp; Body</w:t>
      </w:r>
      <w:r w:rsidRPr="00870E58">
        <w:rPr>
          <w:rFonts w:eastAsia="Times New Roman"/>
          <w:szCs w:val="24"/>
          <w:bdr w:val="none" w:sz="0" w:space="0" w:color="auto" w:frame="1"/>
        </w:rPr>
        <w:t xml:space="preserve"> Corporate</w:t>
      </w:r>
      <w:r w:rsidR="003B2DE0">
        <w:rPr>
          <w:rFonts w:eastAsia="Times New Roman"/>
          <w:szCs w:val="24"/>
          <w:bdr w:val="none" w:sz="0" w:space="0" w:color="auto" w:frame="1"/>
        </w:rPr>
        <w:t>s</w:t>
      </w:r>
      <w:r w:rsidRPr="00870E58">
        <w:rPr>
          <w:rFonts w:eastAsia="Times New Roman"/>
          <w:szCs w:val="24"/>
          <w:bdr w:val="none" w:sz="0" w:space="0" w:color="auto" w:frame="1"/>
        </w:rPr>
        <w:t xml:space="preserve">) and VAT debtors </w:t>
      </w:r>
      <w:proofErr w:type="spellStart"/>
      <w:r w:rsidRPr="00870E58">
        <w:rPr>
          <w:rFonts w:eastAsia="Times New Roman"/>
          <w:szCs w:val="24"/>
          <w:bdr w:val="none" w:sz="0" w:space="0" w:color="auto" w:frame="1"/>
        </w:rPr>
        <w:t>totalling</w:t>
      </w:r>
      <w:proofErr w:type="spellEnd"/>
      <w:r w:rsidRPr="00870E58">
        <w:rPr>
          <w:rFonts w:eastAsia="Times New Roman"/>
          <w:szCs w:val="24"/>
          <w:bdr w:val="none" w:sz="0" w:space="0" w:color="auto" w:frame="1"/>
        </w:rPr>
        <w:t xml:space="preserve"> Rs 6,749,792,996, </w:t>
      </w:r>
      <w:r w:rsidRPr="00870E58">
        <w:rPr>
          <w:szCs w:val="24"/>
        </w:rPr>
        <w:t>represent 91.5 per cent of total arrears;</w:t>
      </w:r>
    </w:p>
    <w:p w:rsidR="00870E58" w:rsidRPr="00870E58" w:rsidRDefault="00870E58" w:rsidP="00D36956">
      <w:pPr>
        <w:autoSpaceDE w:val="0"/>
        <w:autoSpaceDN w:val="0"/>
        <w:adjustRightInd w:val="0"/>
        <w:spacing w:after="0" w:line="240" w:lineRule="auto"/>
        <w:contextualSpacing/>
        <w:jc w:val="both"/>
        <w:rPr>
          <w:szCs w:val="24"/>
        </w:rPr>
      </w:pPr>
    </w:p>
    <w:p w:rsidR="00870E58" w:rsidRPr="00870E58" w:rsidRDefault="00870E58" w:rsidP="00B628CB">
      <w:pPr>
        <w:numPr>
          <w:ilvl w:val="0"/>
          <w:numId w:val="4"/>
        </w:numPr>
        <w:autoSpaceDE w:val="0"/>
        <w:autoSpaceDN w:val="0"/>
        <w:adjustRightInd w:val="0"/>
        <w:spacing w:after="0" w:line="240" w:lineRule="auto"/>
        <w:contextualSpacing/>
        <w:jc w:val="both"/>
        <w:rPr>
          <w:szCs w:val="24"/>
        </w:rPr>
      </w:pPr>
      <w:r w:rsidRPr="00870E58">
        <w:rPr>
          <w:i/>
          <w:szCs w:val="24"/>
        </w:rPr>
        <w:t>Sales Tax.</w:t>
      </w:r>
      <w:r w:rsidRPr="00870E58">
        <w:rPr>
          <w:szCs w:val="24"/>
        </w:rPr>
        <w:t xml:space="preserve"> As of 30 June 2017, a total amount of Rs 2,007,014 owed by five debtors, was still outstanding.</w:t>
      </w:r>
      <w:r w:rsidR="003C3E99">
        <w:rPr>
          <w:szCs w:val="24"/>
        </w:rPr>
        <w:t xml:space="preserve"> </w:t>
      </w:r>
      <w:r w:rsidRPr="00870E58">
        <w:rPr>
          <w:szCs w:val="24"/>
        </w:rPr>
        <w:t>Since 2013, there has not been any movement for these debts which dated back to 1993-94;</w:t>
      </w:r>
    </w:p>
    <w:p w:rsidR="00870E58" w:rsidRPr="00870E58" w:rsidRDefault="00870E58" w:rsidP="00D36956">
      <w:pPr>
        <w:autoSpaceDE w:val="0"/>
        <w:autoSpaceDN w:val="0"/>
        <w:adjustRightInd w:val="0"/>
        <w:spacing w:after="0" w:line="240" w:lineRule="auto"/>
        <w:contextualSpacing/>
        <w:jc w:val="both"/>
        <w:rPr>
          <w:szCs w:val="24"/>
        </w:rPr>
      </w:pPr>
    </w:p>
    <w:p w:rsidR="00870E58" w:rsidRPr="00870E58" w:rsidRDefault="00870E58" w:rsidP="00B628CB">
      <w:pPr>
        <w:numPr>
          <w:ilvl w:val="0"/>
          <w:numId w:val="3"/>
        </w:numPr>
        <w:autoSpaceDE w:val="0"/>
        <w:autoSpaceDN w:val="0"/>
        <w:adjustRightInd w:val="0"/>
        <w:spacing w:after="0" w:line="240" w:lineRule="auto"/>
        <w:contextualSpacing/>
        <w:jc w:val="both"/>
        <w:rPr>
          <w:szCs w:val="24"/>
        </w:rPr>
      </w:pPr>
      <w:r w:rsidRPr="00870E58">
        <w:rPr>
          <w:i/>
          <w:szCs w:val="24"/>
        </w:rPr>
        <w:t>Age analysis of Debtors</w:t>
      </w:r>
      <w:r w:rsidR="00CA4A50">
        <w:rPr>
          <w:szCs w:val="24"/>
        </w:rPr>
        <w:t>.</w:t>
      </w:r>
      <w:r w:rsidR="003C3E99">
        <w:rPr>
          <w:szCs w:val="24"/>
        </w:rPr>
        <w:t xml:space="preserve"> </w:t>
      </w:r>
      <w:r w:rsidR="00CA4A50">
        <w:rPr>
          <w:szCs w:val="24"/>
        </w:rPr>
        <w:t>Table 6-7</w:t>
      </w:r>
      <w:r w:rsidRPr="00870E58">
        <w:rPr>
          <w:szCs w:val="24"/>
        </w:rPr>
        <w:t xml:space="preserve"> depicts an age analysis of Debts as of 30 June 2017.</w:t>
      </w:r>
    </w:p>
    <w:p w:rsidR="00870E58" w:rsidRPr="00870E58" w:rsidRDefault="00870E58" w:rsidP="00B628CB">
      <w:pPr>
        <w:autoSpaceDE w:val="0"/>
        <w:autoSpaceDN w:val="0"/>
        <w:adjustRightInd w:val="0"/>
        <w:spacing w:after="0" w:line="240" w:lineRule="auto"/>
        <w:rPr>
          <w:i/>
          <w:szCs w:val="24"/>
          <w:lang w:val="en-GB"/>
        </w:rPr>
      </w:pPr>
    </w:p>
    <w:p w:rsidR="00870E58" w:rsidRPr="00870E58" w:rsidRDefault="00CA4A50" w:rsidP="00870E58">
      <w:pPr>
        <w:autoSpaceDE w:val="0"/>
        <w:autoSpaceDN w:val="0"/>
        <w:adjustRightInd w:val="0"/>
        <w:spacing w:after="0" w:line="240" w:lineRule="auto"/>
        <w:jc w:val="center"/>
        <w:rPr>
          <w:i/>
          <w:szCs w:val="24"/>
          <w:lang w:val="en-GB"/>
        </w:rPr>
      </w:pPr>
      <w:r>
        <w:rPr>
          <w:i/>
          <w:szCs w:val="24"/>
          <w:lang w:val="en-GB"/>
        </w:rPr>
        <w:t xml:space="preserve">Table </w:t>
      </w:r>
      <w:bookmarkStart w:id="7" w:name="_Hlk507250022"/>
      <w:r>
        <w:rPr>
          <w:i/>
          <w:szCs w:val="24"/>
          <w:lang w:val="en-GB"/>
        </w:rPr>
        <w:t>6-</w:t>
      </w:r>
      <w:proofErr w:type="gramStart"/>
      <w:r>
        <w:rPr>
          <w:i/>
          <w:szCs w:val="24"/>
          <w:lang w:val="en-GB"/>
        </w:rPr>
        <w:t>7</w:t>
      </w:r>
      <w:r w:rsidR="00B628CB">
        <w:rPr>
          <w:i/>
          <w:szCs w:val="24"/>
          <w:lang w:val="en-GB"/>
        </w:rPr>
        <w:t xml:space="preserve">  </w:t>
      </w:r>
      <w:r w:rsidR="00870E58" w:rsidRPr="00870E58">
        <w:rPr>
          <w:i/>
          <w:szCs w:val="24"/>
          <w:lang w:val="en-GB"/>
        </w:rPr>
        <w:t>Age</w:t>
      </w:r>
      <w:proofErr w:type="gramEnd"/>
      <w:r w:rsidR="00870E58" w:rsidRPr="00870E58">
        <w:rPr>
          <w:i/>
          <w:szCs w:val="24"/>
          <w:lang w:val="en-GB"/>
        </w:rPr>
        <w:t xml:space="preserve"> Analysis of Debts</w:t>
      </w:r>
      <w:bookmarkEnd w:id="7"/>
    </w:p>
    <w:p w:rsidR="00870E58" w:rsidRDefault="00870E58" w:rsidP="00870E58">
      <w:pPr>
        <w:autoSpaceDE w:val="0"/>
        <w:autoSpaceDN w:val="0"/>
        <w:adjustRightInd w:val="0"/>
        <w:spacing w:after="0" w:line="240" w:lineRule="auto"/>
        <w:jc w:val="center"/>
        <w:rPr>
          <w:i/>
          <w:szCs w:val="24"/>
          <w:lang w:val="en-GB"/>
        </w:rPr>
      </w:pPr>
    </w:p>
    <w:p w:rsidR="00B540A8" w:rsidRPr="00870E58" w:rsidRDefault="00B540A8" w:rsidP="00B540A8">
      <w:pPr>
        <w:pBdr>
          <w:top w:val="single" w:sz="4" w:space="1" w:color="auto"/>
        </w:pBdr>
        <w:autoSpaceDE w:val="0"/>
        <w:autoSpaceDN w:val="0"/>
        <w:adjustRightInd w:val="0"/>
        <w:spacing w:after="0" w:line="240" w:lineRule="auto"/>
        <w:jc w:val="center"/>
        <w:rPr>
          <w:i/>
          <w:szCs w:val="24"/>
          <w:lang w:val="en-GB"/>
        </w:rPr>
      </w:pPr>
    </w:p>
    <w:tbl>
      <w:tblPr>
        <w:tblW w:w="5908" w:type="dxa"/>
        <w:jc w:val="center"/>
        <w:tblLook w:val="04A0" w:firstRow="1" w:lastRow="0" w:firstColumn="1" w:lastColumn="0" w:noHBand="0" w:noVBand="1"/>
      </w:tblPr>
      <w:tblGrid>
        <w:gridCol w:w="2368"/>
        <w:gridCol w:w="1640"/>
        <w:gridCol w:w="1900"/>
      </w:tblGrid>
      <w:tr w:rsidR="00870E58" w:rsidRPr="00870E58" w:rsidTr="00B540A8">
        <w:trPr>
          <w:trHeight w:val="20"/>
          <w:jc w:val="center"/>
        </w:trPr>
        <w:tc>
          <w:tcPr>
            <w:tcW w:w="2368" w:type="dxa"/>
            <w:shd w:val="clear" w:color="auto" w:fill="auto"/>
            <w:tcMar>
              <w:bottom w:w="142" w:type="dxa"/>
            </w:tcMar>
            <w:hideMark/>
          </w:tcPr>
          <w:p w:rsidR="00870E58" w:rsidRPr="00870E58" w:rsidRDefault="00870E58" w:rsidP="003C3E99">
            <w:pPr>
              <w:spacing w:after="0" w:line="240" w:lineRule="auto"/>
              <w:rPr>
                <w:rFonts w:eastAsia="Times New Roman"/>
                <w:b/>
                <w:bCs/>
                <w:color w:val="000000"/>
                <w:szCs w:val="24"/>
                <w:lang w:val="en-GB" w:eastAsia="en-GB"/>
              </w:rPr>
            </w:pPr>
            <w:r w:rsidRPr="00870E58">
              <w:rPr>
                <w:rFonts w:eastAsia="Times New Roman"/>
                <w:b/>
                <w:bCs/>
                <w:color w:val="000000"/>
                <w:szCs w:val="24"/>
                <w:lang w:val="en-GB" w:eastAsia="en-GB"/>
              </w:rPr>
              <w:t>Period</w:t>
            </w:r>
          </w:p>
        </w:tc>
        <w:tc>
          <w:tcPr>
            <w:tcW w:w="1640" w:type="dxa"/>
            <w:shd w:val="clear" w:color="auto" w:fill="auto"/>
            <w:tcMar>
              <w:bottom w:w="142" w:type="dxa"/>
            </w:tcMar>
            <w:vAlign w:val="center"/>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Arrears as of 30 June 2017</w:t>
            </w:r>
          </w:p>
        </w:tc>
        <w:tc>
          <w:tcPr>
            <w:tcW w:w="1900" w:type="dxa"/>
            <w:shd w:val="clear" w:color="auto" w:fill="auto"/>
            <w:tcMar>
              <w:bottom w:w="142" w:type="dxa"/>
            </w:tcMar>
            <w:vAlign w:val="center"/>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 xml:space="preserve">% of Total Arrears </w:t>
            </w:r>
          </w:p>
        </w:tc>
      </w:tr>
      <w:tr w:rsidR="00870E58" w:rsidRPr="00870E58" w:rsidTr="00B540A8">
        <w:trPr>
          <w:trHeight w:val="20"/>
          <w:jc w:val="center"/>
        </w:trPr>
        <w:tc>
          <w:tcPr>
            <w:tcW w:w="2368" w:type="dxa"/>
            <w:shd w:val="clear" w:color="auto" w:fill="auto"/>
            <w:tcMar>
              <w:bottom w:w="142" w:type="dxa"/>
            </w:tcMar>
            <w:vAlign w:val="center"/>
          </w:tcPr>
          <w:p w:rsidR="00870E58" w:rsidRPr="00870E58" w:rsidRDefault="00870E58" w:rsidP="00B540A8">
            <w:pPr>
              <w:spacing w:after="0" w:line="259" w:lineRule="auto"/>
              <w:rPr>
                <w:szCs w:val="24"/>
                <w:lang w:val="en-GB"/>
              </w:rPr>
            </w:pPr>
            <w:r w:rsidRPr="00870E58">
              <w:rPr>
                <w:szCs w:val="24"/>
                <w:lang w:val="en-GB"/>
              </w:rPr>
              <w:t>1993-1999</w:t>
            </w:r>
          </w:p>
        </w:tc>
        <w:tc>
          <w:tcPr>
            <w:tcW w:w="1640" w:type="dxa"/>
            <w:shd w:val="clear" w:color="auto" w:fill="auto"/>
            <w:tcMar>
              <w:bottom w:w="142" w:type="dxa"/>
            </w:tcMar>
            <w:vAlign w:val="center"/>
          </w:tcPr>
          <w:p w:rsidR="00870E58" w:rsidRPr="00870E58" w:rsidRDefault="00870E58" w:rsidP="00B540A8">
            <w:pPr>
              <w:spacing w:after="0" w:line="259" w:lineRule="auto"/>
              <w:jc w:val="right"/>
              <w:rPr>
                <w:color w:val="000000"/>
                <w:szCs w:val="24"/>
                <w:lang w:val="en-GB"/>
              </w:rPr>
            </w:pPr>
            <w:r w:rsidRPr="00870E58">
              <w:rPr>
                <w:color w:val="000000"/>
                <w:szCs w:val="24"/>
                <w:lang w:val="en-GB"/>
              </w:rPr>
              <w:t>165,003,061</w:t>
            </w:r>
          </w:p>
        </w:tc>
        <w:tc>
          <w:tcPr>
            <w:tcW w:w="1900" w:type="dxa"/>
            <w:shd w:val="clear" w:color="auto" w:fill="auto"/>
            <w:tcMar>
              <w:bottom w:w="142" w:type="dxa"/>
            </w:tcMar>
            <w:vAlign w:val="center"/>
          </w:tcPr>
          <w:p w:rsidR="00870E58" w:rsidRPr="00870E58" w:rsidRDefault="00870E58" w:rsidP="00B540A8">
            <w:pPr>
              <w:spacing w:after="0" w:line="259" w:lineRule="auto"/>
              <w:ind w:right="517"/>
              <w:jc w:val="right"/>
              <w:rPr>
                <w:color w:val="000000"/>
                <w:szCs w:val="24"/>
                <w:lang w:val="en-GB"/>
              </w:rPr>
            </w:pPr>
            <w:r w:rsidRPr="00870E58">
              <w:rPr>
                <w:color w:val="000000"/>
                <w:szCs w:val="24"/>
                <w:lang w:val="en-GB"/>
              </w:rPr>
              <w:t xml:space="preserve">2.24 </w:t>
            </w:r>
          </w:p>
        </w:tc>
      </w:tr>
      <w:tr w:rsidR="00870E58" w:rsidRPr="00870E58" w:rsidTr="00B540A8">
        <w:trPr>
          <w:trHeight w:val="20"/>
          <w:jc w:val="center"/>
        </w:trPr>
        <w:tc>
          <w:tcPr>
            <w:tcW w:w="2368" w:type="dxa"/>
            <w:shd w:val="clear" w:color="auto" w:fill="auto"/>
            <w:tcMar>
              <w:bottom w:w="142" w:type="dxa"/>
            </w:tcMar>
            <w:vAlign w:val="center"/>
          </w:tcPr>
          <w:p w:rsidR="00870E58" w:rsidRPr="00870E58" w:rsidRDefault="00870E58" w:rsidP="00B540A8">
            <w:pPr>
              <w:spacing w:after="0" w:line="259" w:lineRule="auto"/>
              <w:rPr>
                <w:szCs w:val="24"/>
                <w:lang w:val="en-GB"/>
              </w:rPr>
            </w:pPr>
            <w:r w:rsidRPr="00870E58">
              <w:rPr>
                <w:szCs w:val="24"/>
                <w:lang w:val="en-GB"/>
              </w:rPr>
              <w:t>2000-2009</w:t>
            </w:r>
          </w:p>
        </w:tc>
        <w:tc>
          <w:tcPr>
            <w:tcW w:w="1640" w:type="dxa"/>
            <w:shd w:val="clear" w:color="auto" w:fill="auto"/>
            <w:tcMar>
              <w:bottom w:w="142" w:type="dxa"/>
            </w:tcMar>
            <w:vAlign w:val="center"/>
          </w:tcPr>
          <w:p w:rsidR="00870E58" w:rsidRPr="00870E58" w:rsidRDefault="00870E58" w:rsidP="00B540A8">
            <w:pPr>
              <w:spacing w:after="0" w:line="259" w:lineRule="auto"/>
              <w:jc w:val="right"/>
              <w:rPr>
                <w:color w:val="000000"/>
                <w:szCs w:val="24"/>
                <w:lang w:val="en-GB"/>
              </w:rPr>
            </w:pPr>
            <w:r w:rsidRPr="00870E58">
              <w:rPr>
                <w:color w:val="000000"/>
                <w:szCs w:val="24"/>
                <w:lang w:val="en-GB"/>
              </w:rPr>
              <w:t>1,036,658,702</w:t>
            </w:r>
          </w:p>
        </w:tc>
        <w:tc>
          <w:tcPr>
            <w:tcW w:w="1900" w:type="dxa"/>
            <w:shd w:val="clear" w:color="auto" w:fill="auto"/>
            <w:tcMar>
              <w:bottom w:w="142" w:type="dxa"/>
            </w:tcMar>
            <w:vAlign w:val="center"/>
          </w:tcPr>
          <w:p w:rsidR="00870E58" w:rsidRPr="00870E58" w:rsidRDefault="00870E58" w:rsidP="00B540A8">
            <w:pPr>
              <w:spacing w:after="0" w:line="259" w:lineRule="auto"/>
              <w:ind w:right="517"/>
              <w:jc w:val="right"/>
              <w:rPr>
                <w:color w:val="000000"/>
                <w:szCs w:val="24"/>
                <w:lang w:val="en-GB"/>
              </w:rPr>
            </w:pPr>
            <w:r w:rsidRPr="00870E58">
              <w:rPr>
                <w:color w:val="000000"/>
                <w:szCs w:val="24"/>
                <w:lang w:val="en-GB"/>
              </w:rPr>
              <w:t>14.06</w:t>
            </w:r>
          </w:p>
        </w:tc>
      </w:tr>
      <w:tr w:rsidR="00870E58" w:rsidRPr="00870E58" w:rsidTr="00B540A8">
        <w:trPr>
          <w:trHeight w:val="20"/>
          <w:jc w:val="center"/>
        </w:trPr>
        <w:tc>
          <w:tcPr>
            <w:tcW w:w="2368" w:type="dxa"/>
            <w:shd w:val="clear" w:color="auto" w:fill="auto"/>
            <w:tcMar>
              <w:bottom w:w="142" w:type="dxa"/>
            </w:tcMar>
            <w:vAlign w:val="center"/>
          </w:tcPr>
          <w:p w:rsidR="00870E58" w:rsidRPr="00870E58" w:rsidRDefault="00870E58" w:rsidP="00B540A8">
            <w:pPr>
              <w:spacing w:after="0" w:line="259" w:lineRule="auto"/>
              <w:rPr>
                <w:szCs w:val="24"/>
                <w:lang w:val="en-GB"/>
              </w:rPr>
            </w:pPr>
            <w:r w:rsidRPr="00870E58">
              <w:rPr>
                <w:szCs w:val="24"/>
                <w:lang w:val="en-GB"/>
              </w:rPr>
              <w:t>2010-</w:t>
            </w:r>
            <w:r w:rsidR="003B2DE0">
              <w:rPr>
                <w:szCs w:val="24"/>
                <w:lang w:val="en-GB"/>
              </w:rPr>
              <w:t>June</w:t>
            </w:r>
            <w:r w:rsidR="0095055A">
              <w:rPr>
                <w:szCs w:val="24"/>
                <w:lang w:val="en-GB"/>
              </w:rPr>
              <w:t xml:space="preserve"> </w:t>
            </w:r>
            <w:r w:rsidRPr="00870E58">
              <w:rPr>
                <w:szCs w:val="24"/>
                <w:lang w:val="en-GB"/>
              </w:rPr>
              <w:t>2015</w:t>
            </w:r>
          </w:p>
        </w:tc>
        <w:tc>
          <w:tcPr>
            <w:tcW w:w="1640" w:type="dxa"/>
            <w:shd w:val="clear" w:color="auto" w:fill="auto"/>
            <w:tcMar>
              <w:bottom w:w="142" w:type="dxa"/>
            </w:tcMar>
            <w:vAlign w:val="center"/>
          </w:tcPr>
          <w:p w:rsidR="00870E58" w:rsidRPr="00870E58" w:rsidRDefault="00870E58" w:rsidP="00B540A8">
            <w:pPr>
              <w:spacing w:after="0" w:line="259" w:lineRule="auto"/>
              <w:jc w:val="right"/>
              <w:rPr>
                <w:color w:val="000000"/>
                <w:szCs w:val="24"/>
                <w:lang w:val="en-GB"/>
              </w:rPr>
            </w:pPr>
            <w:r w:rsidRPr="00870E58">
              <w:rPr>
                <w:color w:val="000000"/>
                <w:szCs w:val="24"/>
                <w:lang w:val="en-GB"/>
              </w:rPr>
              <w:t>3,946,050,630</w:t>
            </w:r>
          </w:p>
        </w:tc>
        <w:tc>
          <w:tcPr>
            <w:tcW w:w="1900" w:type="dxa"/>
            <w:shd w:val="clear" w:color="auto" w:fill="auto"/>
            <w:tcMar>
              <w:bottom w:w="142" w:type="dxa"/>
            </w:tcMar>
            <w:vAlign w:val="center"/>
          </w:tcPr>
          <w:p w:rsidR="00870E58" w:rsidRPr="00870E58" w:rsidRDefault="00870E58" w:rsidP="00B540A8">
            <w:pPr>
              <w:spacing w:after="0" w:line="259" w:lineRule="auto"/>
              <w:ind w:right="517"/>
              <w:jc w:val="right"/>
              <w:rPr>
                <w:color w:val="000000"/>
                <w:szCs w:val="24"/>
                <w:lang w:val="en-GB"/>
              </w:rPr>
            </w:pPr>
            <w:r w:rsidRPr="00870E58">
              <w:rPr>
                <w:color w:val="000000"/>
                <w:szCs w:val="24"/>
                <w:lang w:val="en-GB"/>
              </w:rPr>
              <w:t>53.51</w:t>
            </w:r>
          </w:p>
        </w:tc>
      </w:tr>
      <w:tr w:rsidR="00870E58" w:rsidRPr="00870E58" w:rsidTr="00B540A8">
        <w:trPr>
          <w:trHeight w:val="20"/>
          <w:jc w:val="center"/>
        </w:trPr>
        <w:tc>
          <w:tcPr>
            <w:tcW w:w="2368" w:type="dxa"/>
            <w:shd w:val="clear" w:color="auto" w:fill="auto"/>
            <w:tcMar>
              <w:bottom w:w="142" w:type="dxa"/>
            </w:tcMar>
            <w:vAlign w:val="center"/>
          </w:tcPr>
          <w:p w:rsidR="00870E58" w:rsidRPr="00870E58" w:rsidRDefault="00870E58" w:rsidP="00B540A8">
            <w:pPr>
              <w:spacing w:after="0" w:line="259" w:lineRule="auto"/>
              <w:rPr>
                <w:szCs w:val="24"/>
                <w:lang w:val="en-GB"/>
              </w:rPr>
            </w:pPr>
            <w:r w:rsidRPr="00870E58">
              <w:rPr>
                <w:szCs w:val="24"/>
                <w:lang w:val="en-GB"/>
              </w:rPr>
              <w:t>July 2015-June 2017</w:t>
            </w:r>
          </w:p>
        </w:tc>
        <w:tc>
          <w:tcPr>
            <w:tcW w:w="1640" w:type="dxa"/>
            <w:shd w:val="clear" w:color="auto" w:fill="auto"/>
            <w:tcMar>
              <w:bottom w:w="142" w:type="dxa"/>
            </w:tcMar>
            <w:vAlign w:val="center"/>
          </w:tcPr>
          <w:p w:rsidR="00870E58" w:rsidRPr="00870E58" w:rsidRDefault="00870E58" w:rsidP="00B540A8">
            <w:pPr>
              <w:spacing w:after="0" w:line="259" w:lineRule="auto"/>
              <w:jc w:val="right"/>
              <w:rPr>
                <w:color w:val="000000"/>
                <w:szCs w:val="24"/>
                <w:lang w:val="en-GB"/>
              </w:rPr>
            </w:pPr>
            <w:r w:rsidRPr="00870E58">
              <w:rPr>
                <w:color w:val="000000"/>
                <w:szCs w:val="24"/>
                <w:lang w:val="en-GB"/>
              </w:rPr>
              <w:t>2,226,291,105</w:t>
            </w:r>
          </w:p>
        </w:tc>
        <w:tc>
          <w:tcPr>
            <w:tcW w:w="1900" w:type="dxa"/>
            <w:shd w:val="clear" w:color="auto" w:fill="auto"/>
            <w:tcMar>
              <w:bottom w:w="142" w:type="dxa"/>
            </w:tcMar>
            <w:vAlign w:val="center"/>
          </w:tcPr>
          <w:p w:rsidR="00870E58" w:rsidRPr="00870E58" w:rsidRDefault="00870E58" w:rsidP="00B540A8">
            <w:pPr>
              <w:spacing w:after="0" w:line="259" w:lineRule="auto"/>
              <w:ind w:right="517"/>
              <w:jc w:val="right"/>
              <w:rPr>
                <w:color w:val="000000"/>
                <w:szCs w:val="24"/>
                <w:lang w:val="en-GB"/>
              </w:rPr>
            </w:pPr>
            <w:r w:rsidRPr="00870E58">
              <w:rPr>
                <w:color w:val="000000"/>
                <w:szCs w:val="24"/>
                <w:lang w:val="en-GB"/>
              </w:rPr>
              <w:t>30.19</w:t>
            </w:r>
          </w:p>
        </w:tc>
      </w:tr>
      <w:tr w:rsidR="00870E58" w:rsidRPr="00870E58" w:rsidTr="00B540A8">
        <w:trPr>
          <w:trHeight w:val="80"/>
          <w:jc w:val="center"/>
        </w:trPr>
        <w:tc>
          <w:tcPr>
            <w:tcW w:w="2368" w:type="dxa"/>
            <w:shd w:val="clear" w:color="auto" w:fill="auto"/>
            <w:vAlign w:val="center"/>
          </w:tcPr>
          <w:p w:rsidR="00870E58" w:rsidRPr="00870E58" w:rsidRDefault="00870E58" w:rsidP="00B540A8">
            <w:pPr>
              <w:spacing w:after="0" w:line="259" w:lineRule="auto"/>
              <w:rPr>
                <w:b/>
                <w:iCs/>
                <w:color w:val="FF0000"/>
                <w:szCs w:val="24"/>
                <w:lang w:val="en-GB"/>
              </w:rPr>
            </w:pPr>
            <w:r w:rsidRPr="00870E58">
              <w:rPr>
                <w:b/>
                <w:iCs/>
                <w:szCs w:val="24"/>
                <w:lang w:val="en-GB"/>
              </w:rPr>
              <w:t>Total </w:t>
            </w:r>
          </w:p>
        </w:tc>
        <w:tc>
          <w:tcPr>
            <w:tcW w:w="1640" w:type="dxa"/>
            <w:shd w:val="clear" w:color="auto" w:fill="auto"/>
            <w:vAlign w:val="center"/>
          </w:tcPr>
          <w:p w:rsidR="00870E58" w:rsidRPr="00870E58" w:rsidRDefault="00870E58" w:rsidP="00B540A8">
            <w:pPr>
              <w:spacing w:after="0" w:line="259" w:lineRule="auto"/>
              <w:jc w:val="right"/>
              <w:rPr>
                <w:b/>
                <w:bCs/>
                <w:color w:val="000000"/>
                <w:szCs w:val="24"/>
                <w:lang w:val="en-GB"/>
              </w:rPr>
            </w:pPr>
            <w:r w:rsidRPr="00870E58">
              <w:rPr>
                <w:b/>
                <w:bCs/>
                <w:color w:val="000000"/>
                <w:szCs w:val="24"/>
                <w:lang w:val="en-GB"/>
              </w:rPr>
              <w:t>7,374,003,498</w:t>
            </w:r>
          </w:p>
        </w:tc>
        <w:tc>
          <w:tcPr>
            <w:tcW w:w="1900" w:type="dxa"/>
            <w:shd w:val="clear" w:color="auto" w:fill="auto"/>
            <w:vAlign w:val="center"/>
          </w:tcPr>
          <w:p w:rsidR="00870E58" w:rsidRPr="00870E58" w:rsidRDefault="00870E58" w:rsidP="00B540A8">
            <w:pPr>
              <w:spacing w:after="0" w:line="259" w:lineRule="auto"/>
              <w:jc w:val="both"/>
              <w:rPr>
                <w:color w:val="000000"/>
                <w:szCs w:val="24"/>
                <w:lang w:val="en-GB"/>
              </w:rPr>
            </w:pPr>
            <w:r w:rsidRPr="00870E58">
              <w:rPr>
                <w:color w:val="000000"/>
                <w:szCs w:val="24"/>
                <w:lang w:val="en-GB"/>
              </w:rPr>
              <w:t> </w:t>
            </w:r>
          </w:p>
        </w:tc>
      </w:tr>
    </w:tbl>
    <w:p w:rsidR="00870E58" w:rsidRPr="00870E58" w:rsidRDefault="00870E58" w:rsidP="00B540A8">
      <w:pPr>
        <w:pBdr>
          <w:bottom w:val="single" w:sz="4" w:space="1" w:color="auto"/>
        </w:pBdr>
        <w:autoSpaceDE w:val="0"/>
        <w:autoSpaceDN w:val="0"/>
        <w:adjustRightInd w:val="0"/>
        <w:spacing w:after="0" w:line="240" w:lineRule="auto"/>
        <w:rPr>
          <w:iCs/>
          <w:sz w:val="20"/>
          <w:szCs w:val="20"/>
        </w:rPr>
      </w:pPr>
    </w:p>
    <w:p w:rsidR="00870E58" w:rsidRPr="00870E58" w:rsidRDefault="00870E58" w:rsidP="00B540A8">
      <w:pPr>
        <w:autoSpaceDE w:val="0"/>
        <w:autoSpaceDN w:val="0"/>
        <w:adjustRightInd w:val="0"/>
        <w:spacing w:after="0" w:line="240" w:lineRule="auto"/>
        <w:rPr>
          <w:i/>
          <w:iCs/>
          <w:sz w:val="20"/>
          <w:szCs w:val="20"/>
        </w:rPr>
      </w:pPr>
      <w:r w:rsidRPr="00870E58">
        <w:rPr>
          <w:i/>
          <w:iCs/>
          <w:sz w:val="20"/>
          <w:szCs w:val="20"/>
        </w:rPr>
        <w:t>Source: Collectible Debt Report - Debt Management Unit</w:t>
      </w:r>
    </w:p>
    <w:p w:rsidR="00870E58" w:rsidRPr="00870E58" w:rsidRDefault="00870E58" w:rsidP="00B628CB">
      <w:pPr>
        <w:autoSpaceDE w:val="0"/>
        <w:autoSpaceDN w:val="0"/>
        <w:adjustRightInd w:val="0"/>
        <w:spacing w:after="0" w:line="240" w:lineRule="auto"/>
        <w:jc w:val="center"/>
        <w:rPr>
          <w:i/>
          <w:color w:val="FF0000"/>
          <w:szCs w:val="24"/>
          <w:lang w:val="en-GB"/>
        </w:rPr>
      </w:pPr>
    </w:p>
    <w:p w:rsidR="00870E58" w:rsidRPr="00870E58" w:rsidRDefault="00870E58" w:rsidP="00B628CB">
      <w:pPr>
        <w:autoSpaceDE w:val="0"/>
        <w:autoSpaceDN w:val="0"/>
        <w:adjustRightInd w:val="0"/>
        <w:spacing w:after="0" w:line="240" w:lineRule="auto"/>
        <w:jc w:val="both"/>
        <w:rPr>
          <w:szCs w:val="24"/>
          <w:lang w:val="en-GB"/>
        </w:rPr>
      </w:pPr>
    </w:p>
    <w:p w:rsidR="00870E58" w:rsidRPr="00870E58" w:rsidRDefault="00870E58" w:rsidP="003B2DE0">
      <w:pPr>
        <w:autoSpaceDE w:val="0"/>
        <w:autoSpaceDN w:val="0"/>
        <w:adjustRightInd w:val="0"/>
        <w:spacing w:after="0" w:line="240" w:lineRule="auto"/>
        <w:ind w:left="360"/>
        <w:contextualSpacing/>
        <w:jc w:val="both"/>
        <w:rPr>
          <w:szCs w:val="24"/>
        </w:rPr>
      </w:pPr>
      <w:r w:rsidRPr="00870E58">
        <w:rPr>
          <w:szCs w:val="24"/>
        </w:rPr>
        <w:t>16.3 per cent related to debts prior to 2010 while approximately 53.5 per cent represented amount out</w:t>
      </w:r>
      <w:r w:rsidR="003B2DE0">
        <w:rPr>
          <w:szCs w:val="24"/>
        </w:rPr>
        <w:t xml:space="preserve">standing between 2010 and </w:t>
      </w:r>
      <w:r w:rsidR="0095055A">
        <w:rPr>
          <w:szCs w:val="24"/>
        </w:rPr>
        <w:t xml:space="preserve">June </w:t>
      </w:r>
      <w:r w:rsidR="003B2DE0">
        <w:rPr>
          <w:szCs w:val="24"/>
        </w:rPr>
        <w:t>2015.</w:t>
      </w:r>
    </w:p>
    <w:p w:rsidR="00870E58" w:rsidRPr="00870E58" w:rsidRDefault="00870E58" w:rsidP="003B2DE0">
      <w:pPr>
        <w:autoSpaceDE w:val="0"/>
        <w:autoSpaceDN w:val="0"/>
        <w:adjustRightInd w:val="0"/>
        <w:spacing w:after="0" w:line="240" w:lineRule="auto"/>
        <w:ind w:left="360"/>
        <w:contextualSpacing/>
        <w:jc w:val="both"/>
        <w:rPr>
          <w:b/>
          <w:szCs w:val="24"/>
        </w:rPr>
      </w:pPr>
    </w:p>
    <w:p w:rsidR="00870E58" w:rsidRPr="00870E58" w:rsidRDefault="00870E58" w:rsidP="00B628CB">
      <w:pPr>
        <w:numPr>
          <w:ilvl w:val="2"/>
          <w:numId w:val="2"/>
        </w:numPr>
        <w:autoSpaceDE w:val="0"/>
        <w:autoSpaceDN w:val="0"/>
        <w:adjustRightInd w:val="0"/>
        <w:spacing w:after="0" w:line="240" w:lineRule="auto"/>
        <w:ind w:left="360" w:hanging="360"/>
        <w:contextualSpacing/>
        <w:jc w:val="both"/>
        <w:rPr>
          <w:szCs w:val="24"/>
        </w:rPr>
      </w:pPr>
      <w:r w:rsidRPr="00870E58">
        <w:rPr>
          <w:szCs w:val="24"/>
        </w:rPr>
        <w:t>A further analysis of the arrears stratified by amount and number of taxpa</w:t>
      </w:r>
      <w:r w:rsidR="00B628CB">
        <w:rPr>
          <w:szCs w:val="24"/>
        </w:rPr>
        <w:t>y</w:t>
      </w:r>
      <w:r w:rsidR="00CA4A50">
        <w:rPr>
          <w:szCs w:val="24"/>
        </w:rPr>
        <w:t>ers is depicted in the Table 6-8</w:t>
      </w:r>
      <w:r w:rsidR="00B628CB">
        <w:rPr>
          <w:szCs w:val="24"/>
        </w:rPr>
        <w:t>.</w:t>
      </w:r>
    </w:p>
    <w:p w:rsidR="00B540A8" w:rsidRDefault="00B540A8">
      <w:pPr>
        <w:rPr>
          <w:szCs w:val="24"/>
        </w:rPr>
      </w:pPr>
      <w:r>
        <w:rPr>
          <w:szCs w:val="24"/>
        </w:rPr>
        <w:br w:type="page"/>
      </w:r>
    </w:p>
    <w:p w:rsidR="00870E58" w:rsidRPr="00870E58" w:rsidRDefault="00870E58" w:rsidP="00870E58">
      <w:pPr>
        <w:autoSpaceDE w:val="0"/>
        <w:autoSpaceDN w:val="0"/>
        <w:adjustRightInd w:val="0"/>
        <w:spacing w:after="0" w:line="240" w:lineRule="auto"/>
        <w:contextualSpacing/>
        <w:jc w:val="center"/>
        <w:rPr>
          <w:i/>
          <w:szCs w:val="24"/>
        </w:rPr>
      </w:pPr>
      <w:r w:rsidRPr="00870E58">
        <w:rPr>
          <w:i/>
          <w:szCs w:val="24"/>
        </w:rPr>
        <w:lastRenderedPageBreak/>
        <w:t xml:space="preserve">Table </w:t>
      </w:r>
      <w:bookmarkStart w:id="8" w:name="_Hlk507250053"/>
      <w:r w:rsidRPr="00870E58">
        <w:rPr>
          <w:i/>
          <w:szCs w:val="24"/>
        </w:rPr>
        <w:t>6</w:t>
      </w:r>
      <w:r w:rsidR="00CA4A50">
        <w:rPr>
          <w:i/>
          <w:szCs w:val="24"/>
        </w:rPr>
        <w:t>-</w:t>
      </w:r>
      <w:proofErr w:type="gramStart"/>
      <w:r w:rsidR="00CA4A50">
        <w:rPr>
          <w:i/>
          <w:szCs w:val="24"/>
        </w:rPr>
        <w:t>8</w:t>
      </w:r>
      <w:r w:rsidRPr="00870E58">
        <w:rPr>
          <w:i/>
          <w:szCs w:val="24"/>
        </w:rPr>
        <w:t xml:space="preserve">  Arrears</w:t>
      </w:r>
      <w:proofErr w:type="gramEnd"/>
      <w:r w:rsidRPr="00870E58">
        <w:rPr>
          <w:i/>
          <w:szCs w:val="24"/>
        </w:rPr>
        <w:t xml:space="preserve"> of Revenue Stratified by Amount</w:t>
      </w:r>
      <w:bookmarkEnd w:id="8"/>
    </w:p>
    <w:p w:rsidR="00870E58" w:rsidRDefault="00870E58" w:rsidP="00870E58">
      <w:pPr>
        <w:autoSpaceDE w:val="0"/>
        <w:autoSpaceDN w:val="0"/>
        <w:adjustRightInd w:val="0"/>
        <w:spacing w:after="0" w:line="240" w:lineRule="auto"/>
        <w:contextualSpacing/>
        <w:jc w:val="both"/>
        <w:rPr>
          <w:szCs w:val="24"/>
        </w:rPr>
      </w:pPr>
    </w:p>
    <w:p w:rsidR="00B540A8" w:rsidRPr="00870E58" w:rsidRDefault="00B540A8" w:rsidP="00B540A8">
      <w:pPr>
        <w:pBdr>
          <w:top w:val="single" w:sz="4" w:space="1" w:color="auto"/>
        </w:pBdr>
        <w:autoSpaceDE w:val="0"/>
        <w:autoSpaceDN w:val="0"/>
        <w:adjustRightInd w:val="0"/>
        <w:spacing w:after="0" w:line="240" w:lineRule="auto"/>
        <w:contextualSpacing/>
        <w:jc w:val="both"/>
        <w:rPr>
          <w:szCs w:val="24"/>
        </w:rPr>
      </w:pPr>
    </w:p>
    <w:tbl>
      <w:tblPr>
        <w:tblW w:w="7129" w:type="dxa"/>
        <w:jc w:val="center"/>
        <w:tblLook w:val="04A0" w:firstRow="1" w:lastRow="0" w:firstColumn="1" w:lastColumn="0" w:noHBand="0" w:noVBand="1"/>
      </w:tblPr>
      <w:tblGrid>
        <w:gridCol w:w="1478"/>
        <w:gridCol w:w="1960"/>
        <w:gridCol w:w="1900"/>
        <w:gridCol w:w="1791"/>
      </w:tblGrid>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B540A8">
            <w:pPr>
              <w:spacing w:after="0" w:line="240" w:lineRule="auto"/>
              <w:jc w:val="center"/>
              <w:rPr>
                <w:rFonts w:eastAsia="Times New Roman"/>
                <w:b/>
                <w:szCs w:val="24"/>
                <w:lang w:eastAsia="en-GB"/>
              </w:rPr>
            </w:pPr>
            <w:r w:rsidRPr="00870E58">
              <w:rPr>
                <w:rFonts w:eastAsia="Times New Roman"/>
                <w:b/>
                <w:szCs w:val="24"/>
                <w:lang w:eastAsia="en-GB"/>
              </w:rPr>
              <w:t>Range</w:t>
            </w:r>
          </w:p>
          <w:p w:rsidR="00870E58" w:rsidRPr="00870E58" w:rsidRDefault="00870E58" w:rsidP="00B540A8">
            <w:pPr>
              <w:spacing w:after="0" w:line="240" w:lineRule="auto"/>
              <w:jc w:val="center"/>
              <w:rPr>
                <w:rFonts w:eastAsia="Times New Roman"/>
                <w:b/>
                <w:szCs w:val="24"/>
                <w:lang w:eastAsia="en-GB"/>
              </w:rPr>
            </w:pPr>
            <w:r w:rsidRPr="00870E58">
              <w:rPr>
                <w:rFonts w:eastAsia="Times New Roman"/>
                <w:b/>
                <w:szCs w:val="24"/>
                <w:lang w:eastAsia="en-GB"/>
              </w:rPr>
              <w:t>(Rs million)</w:t>
            </w:r>
          </w:p>
        </w:tc>
        <w:tc>
          <w:tcPr>
            <w:tcW w:w="1960" w:type="dxa"/>
            <w:shd w:val="clear" w:color="auto" w:fill="auto"/>
            <w:tcMar>
              <w:bottom w:w="142" w:type="dxa"/>
            </w:tcMar>
            <w:vAlign w:val="bottom"/>
            <w:hideMark/>
          </w:tcPr>
          <w:p w:rsidR="00870E58" w:rsidRPr="00870E58" w:rsidRDefault="00870E58" w:rsidP="00B540A8">
            <w:pPr>
              <w:spacing w:after="0" w:line="240" w:lineRule="auto"/>
              <w:jc w:val="center"/>
              <w:rPr>
                <w:rFonts w:eastAsia="Times New Roman"/>
                <w:b/>
                <w:szCs w:val="24"/>
                <w:lang w:eastAsia="en-GB"/>
              </w:rPr>
            </w:pPr>
            <w:r w:rsidRPr="00870E58">
              <w:rPr>
                <w:rFonts w:eastAsia="Times New Roman"/>
                <w:b/>
                <w:szCs w:val="24"/>
                <w:lang w:eastAsia="en-GB"/>
              </w:rPr>
              <w:t>Number of Taxpayers</w:t>
            </w:r>
          </w:p>
        </w:tc>
        <w:tc>
          <w:tcPr>
            <w:tcW w:w="1900" w:type="dxa"/>
            <w:shd w:val="clear" w:color="auto" w:fill="auto"/>
            <w:tcMar>
              <w:bottom w:w="142" w:type="dxa"/>
            </w:tcMar>
            <w:vAlign w:val="bottom"/>
            <w:hideMark/>
          </w:tcPr>
          <w:p w:rsidR="00870E58" w:rsidRPr="00870E58" w:rsidRDefault="00870E58" w:rsidP="00B540A8">
            <w:pPr>
              <w:spacing w:after="0" w:line="240" w:lineRule="auto"/>
              <w:jc w:val="center"/>
              <w:rPr>
                <w:rFonts w:eastAsia="Times New Roman"/>
                <w:b/>
                <w:szCs w:val="24"/>
                <w:lang w:eastAsia="en-GB"/>
              </w:rPr>
            </w:pPr>
            <w:r w:rsidRPr="00870E58">
              <w:rPr>
                <w:rFonts w:eastAsia="Times New Roman"/>
                <w:b/>
                <w:szCs w:val="24"/>
                <w:lang w:eastAsia="en-GB"/>
              </w:rPr>
              <w:t>Amount</w:t>
            </w:r>
          </w:p>
          <w:p w:rsidR="00870E58" w:rsidRPr="00870E58" w:rsidRDefault="00B540A8" w:rsidP="00B540A8">
            <w:pPr>
              <w:spacing w:after="0" w:line="240" w:lineRule="auto"/>
              <w:jc w:val="center"/>
              <w:rPr>
                <w:rFonts w:eastAsia="Times New Roman"/>
                <w:b/>
                <w:szCs w:val="24"/>
                <w:lang w:eastAsia="en-GB"/>
              </w:rPr>
            </w:pPr>
            <w:r>
              <w:rPr>
                <w:rFonts w:eastAsia="Times New Roman"/>
                <w:b/>
                <w:szCs w:val="24"/>
                <w:lang w:eastAsia="en-GB"/>
              </w:rPr>
              <w:t>(</w:t>
            </w:r>
            <w:r w:rsidR="00870E58" w:rsidRPr="00870E58">
              <w:rPr>
                <w:rFonts w:eastAsia="Times New Roman"/>
                <w:b/>
                <w:szCs w:val="24"/>
                <w:lang w:eastAsia="en-GB"/>
              </w:rPr>
              <w:t>Rs)</w:t>
            </w:r>
          </w:p>
        </w:tc>
        <w:tc>
          <w:tcPr>
            <w:tcW w:w="1791" w:type="dxa"/>
            <w:shd w:val="clear" w:color="auto" w:fill="auto"/>
            <w:tcMar>
              <w:bottom w:w="142" w:type="dxa"/>
            </w:tcMar>
            <w:vAlign w:val="bottom"/>
            <w:hideMark/>
          </w:tcPr>
          <w:p w:rsidR="00870E58" w:rsidRPr="00870E58" w:rsidRDefault="00870E58" w:rsidP="00B540A8">
            <w:pPr>
              <w:spacing w:after="0" w:line="240" w:lineRule="auto"/>
              <w:jc w:val="center"/>
              <w:rPr>
                <w:rFonts w:eastAsia="Times New Roman"/>
                <w:b/>
                <w:szCs w:val="24"/>
                <w:lang w:eastAsia="en-GB"/>
              </w:rPr>
            </w:pPr>
            <w:r w:rsidRPr="00870E58">
              <w:rPr>
                <w:rFonts w:eastAsia="Times New Roman"/>
                <w:b/>
                <w:szCs w:val="24"/>
                <w:lang w:eastAsia="en-GB"/>
              </w:rPr>
              <w:t>% of Total Amount</w:t>
            </w:r>
          </w:p>
        </w:tc>
      </w:tr>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DE55AE">
            <w:pPr>
              <w:spacing w:after="0" w:line="240" w:lineRule="auto"/>
              <w:jc w:val="right"/>
              <w:rPr>
                <w:rFonts w:eastAsia="Times New Roman"/>
                <w:szCs w:val="24"/>
                <w:lang w:eastAsia="en-GB"/>
              </w:rPr>
            </w:pPr>
            <w:r w:rsidRPr="00870E58">
              <w:rPr>
                <w:rFonts w:eastAsia="Times New Roman"/>
                <w:szCs w:val="24"/>
                <w:lang w:eastAsia="en-GB"/>
              </w:rPr>
              <w:t>Less than 10</w:t>
            </w:r>
          </w:p>
        </w:tc>
        <w:tc>
          <w:tcPr>
            <w:tcW w:w="1960" w:type="dxa"/>
            <w:shd w:val="clear" w:color="auto" w:fill="auto"/>
            <w:tcMar>
              <w:bottom w:w="142" w:type="dxa"/>
            </w:tcMar>
            <w:vAlign w:val="bottom"/>
          </w:tcPr>
          <w:p w:rsidR="00870E58" w:rsidRPr="00870E58" w:rsidRDefault="00870E58" w:rsidP="00B540A8">
            <w:pPr>
              <w:spacing w:after="0" w:line="240" w:lineRule="auto"/>
              <w:ind w:right="535"/>
              <w:jc w:val="right"/>
              <w:rPr>
                <w:rFonts w:eastAsia="Times New Roman"/>
                <w:szCs w:val="24"/>
                <w:lang w:eastAsia="en-GB"/>
              </w:rPr>
            </w:pPr>
            <w:r w:rsidRPr="00870E58">
              <w:rPr>
                <w:rFonts w:eastAsia="Times New Roman"/>
                <w:szCs w:val="24"/>
                <w:lang w:eastAsia="en-GB"/>
              </w:rPr>
              <w:t>39,666</w:t>
            </w:r>
          </w:p>
        </w:tc>
        <w:tc>
          <w:tcPr>
            <w:tcW w:w="1900" w:type="dxa"/>
            <w:shd w:val="clear" w:color="auto" w:fill="auto"/>
            <w:tcMar>
              <w:bottom w:w="142" w:type="dxa"/>
            </w:tcMar>
            <w:vAlign w:val="bottom"/>
          </w:tcPr>
          <w:p w:rsidR="00870E58" w:rsidRPr="00870E58" w:rsidRDefault="00870E58" w:rsidP="00B540A8">
            <w:pPr>
              <w:spacing w:after="0" w:line="240" w:lineRule="auto"/>
              <w:ind w:right="167"/>
              <w:jc w:val="right"/>
              <w:rPr>
                <w:rFonts w:eastAsia="Times New Roman"/>
                <w:szCs w:val="24"/>
                <w:lang w:eastAsia="en-GB"/>
              </w:rPr>
            </w:pPr>
            <w:r w:rsidRPr="00870E58">
              <w:rPr>
                <w:rFonts w:eastAsia="Times New Roman"/>
                <w:szCs w:val="24"/>
                <w:lang w:eastAsia="en-GB"/>
              </w:rPr>
              <w:t>3,545,762,176</w:t>
            </w:r>
          </w:p>
        </w:tc>
        <w:tc>
          <w:tcPr>
            <w:tcW w:w="1791" w:type="dxa"/>
            <w:shd w:val="clear" w:color="auto" w:fill="auto"/>
            <w:tcMar>
              <w:bottom w:w="142" w:type="dxa"/>
            </w:tcMar>
            <w:vAlign w:val="bottom"/>
          </w:tcPr>
          <w:p w:rsidR="00870E58" w:rsidRPr="00870E58" w:rsidRDefault="00870E58" w:rsidP="00DE55AE">
            <w:pPr>
              <w:spacing w:after="0" w:line="240" w:lineRule="auto"/>
              <w:ind w:right="399"/>
              <w:jc w:val="right"/>
              <w:rPr>
                <w:rFonts w:eastAsia="Times New Roman"/>
                <w:szCs w:val="24"/>
                <w:lang w:eastAsia="en-GB"/>
              </w:rPr>
            </w:pPr>
            <w:r w:rsidRPr="00870E58">
              <w:rPr>
                <w:rFonts w:eastAsia="Times New Roman"/>
                <w:szCs w:val="24"/>
                <w:lang w:eastAsia="en-GB"/>
              </w:rPr>
              <w:t>48.08</w:t>
            </w:r>
          </w:p>
        </w:tc>
      </w:tr>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DE55AE">
            <w:pPr>
              <w:spacing w:after="0" w:line="240" w:lineRule="auto"/>
              <w:rPr>
                <w:rFonts w:eastAsia="Times New Roman"/>
                <w:szCs w:val="24"/>
                <w:lang w:eastAsia="en-GB"/>
              </w:rPr>
            </w:pPr>
            <w:r w:rsidRPr="00870E58">
              <w:rPr>
                <w:rFonts w:eastAsia="Times New Roman"/>
                <w:szCs w:val="24"/>
                <w:lang w:eastAsia="en-GB"/>
              </w:rPr>
              <w:t>10 -50</w:t>
            </w:r>
          </w:p>
        </w:tc>
        <w:tc>
          <w:tcPr>
            <w:tcW w:w="1960" w:type="dxa"/>
            <w:shd w:val="clear" w:color="auto" w:fill="auto"/>
            <w:tcMar>
              <w:bottom w:w="142" w:type="dxa"/>
            </w:tcMar>
            <w:vAlign w:val="bottom"/>
          </w:tcPr>
          <w:p w:rsidR="00870E58" w:rsidRPr="00870E58" w:rsidRDefault="00870E58" w:rsidP="00B540A8">
            <w:pPr>
              <w:spacing w:after="0" w:line="240" w:lineRule="auto"/>
              <w:ind w:right="535"/>
              <w:jc w:val="right"/>
              <w:rPr>
                <w:rFonts w:eastAsia="Times New Roman"/>
                <w:szCs w:val="24"/>
                <w:lang w:eastAsia="en-GB"/>
              </w:rPr>
            </w:pPr>
            <w:r w:rsidRPr="00870E58">
              <w:rPr>
                <w:rFonts w:eastAsia="Times New Roman"/>
                <w:szCs w:val="24"/>
                <w:lang w:eastAsia="en-GB"/>
              </w:rPr>
              <w:t>107</w:t>
            </w:r>
          </w:p>
        </w:tc>
        <w:tc>
          <w:tcPr>
            <w:tcW w:w="1900" w:type="dxa"/>
            <w:shd w:val="clear" w:color="auto" w:fill="auto"/>
            <w:tcMar>
              <w:bottom w:w="142" w:type="dxa"/>
            </w:tcMar>
            <w:vAlign w:val="bottom"/>
          </w:tcPr>
          <w:p w:rsidR="00870E58" w:rsidRPr="00870E58" w:rsidRDefault="00870E58" w:rsidP="00B540A8">
            <w:pPr>
              <w:spacing w:after="0" w:line="240" w:lineRule="auto"/>
              <w:ind w:right="167"/>
              <w:jc w:val="right"/>
              <w:rPr>
                <w:rFonts w:eastAsia="Times New Roman"/>
                <w:szCs w:val="24"/>
                <w:lang w:eastAsia="en-GB"/>
              </w:rPr>
            </w:pPr>
            <w:r w:rsidRPr="00870E58">
              <w:rPr>
                <w:rFonts w:eastAsia="Times New Roman"/>
                <w:szCs w:val="24"/>
                <w:lang w:eastAsia="en-GB"/>
              </w:rPr>
              <w:t>2,265,969,943</w:t>
            </w:r>
          </w:p>
        </w:tc>
        <w:tc>
          <w:tcPr>
            <w:tcW w:w="1791" w:type="dxa"/>
            <w:shd w:val="clear" w:color="auto" w:fill="auto"/>
            <w:tcMar>
              <w:bottom w:w="142" w:type="dxa"/>
            </w:tcMar>
            <w:vAlign w:val="bottom"/>
          </w:tcPr>
          <w:p w:rsidR="00870E58" w:rsidRPr="00870E58" w:rsidRDefault="00870E58" w:rsidP="00DE55AE">
            <w:pPr>
              <w:spacing w:after="0" w:line="240" w:lineRule="auto"/>
              <w:ind w:right="399"/>
              <w:jc w:val="right"/>
              <w:rPr>
                <w:rFonts w:eastAsia="Times New Roman"/>
                <w:szCs w:val="24"/>
                <w:lang w:eastAsia="en-GB"/>
              </w:rPr>
            </w:pPr>
            <w:r w:rsidRPr="00870E58">
              <w:rPr>
                <w:rFonts w:eastAsia="Times New Roman"/>
                <w:szCs w:val="24"/>
                <w:lang w:eastAsia="en-GB"/>
              </w:rPr>
              <w:t>30.73</w:t>
            </w:r>
          </w:p>
        </w:tc>
      </w:tr>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DE55AE">
            <w:pPr>
              <w:spacing w:after="0" w:line="240" w:lineRule="auto"/>
              <w:rPr>
                <w:rFonts w:eastAsia="Times New Roman"/>
                <w:szCs w:val="24"/>
                <w:lang w:eastAsia="en-GB"/>
              </w:rPr>
            </w:pPr>
            <w:r w:rsidRPr="00870E58">
              <w:rPr>
                <w:rFonts w:eastAsia="Times New Roman"/>
                <w:szCs w:val="24"/>
                <w:lang w:eastAsia="en-GB"/>
              </w:rPr>
              <w:t>50 - 100</w:t>
            </w:r>
          </w:p>
        </w:tc>
        <w:tc>
          <w:tcPr>
            <w:tcW w:w="1960" w:type="dxa"/>
            <w:shd w:val="clear" w:color="auto" w:fill="auto"/>
            <w:tcMar>
              <w:bottom w:w="142" w:type="dxa"/>
            </w:tcMar>
            <w:vAlign w:val="bottom"/>
          </w:tcPr>
          <w:p w:rsidR="00870E58" w:rsidRPr="00870E58" w:rsidRDefault="00870E58" w:rsidP="00B540A8">
            <w:pPr>
              <w:spacing w:after="0" w:line="240" w:lineRule="auto"/>
              <w:ind w:right="535"/>
              <w:jc w:val="right"/>
              <w:rPr>
                <w:rFonts w:eastAsia="Times New Roman"/>
                <w:szCs w:val="24"/>
                <w:lang w:eastAsia="en-GB"/>
              </w:rPr>
            </w:pPr>
            <w:r w:rsidRPr="00870E58">
              <w:rPr>
                <w:rFonts w:eastAsia="Times New Roman"/>
                <w:szCs w:val="24"/>
                <w:lang w:eastAsia="en-GB"/>
              </w:rPr>
              <w:t>12</w:t>
            </w:r>
          </w:p>
        </w:tc>
        <w:tc>
          <w:tcPr>
            <w:tcW w:w="1900" w:type="dxa"/>
            <w:shd w:val="clear" w:color="auto" w:fill="auto"/>
            <w:tcMar>
              <w:bottom w:w="142" w:type="dxa"/>
            </w:tcMar>
            <w:vAlign w:val="bottom"/>
          </w:tcPr>
          <w:p w:rsidR="00870E58" w:rsidRPr="00870E58" w:rsidRDefault="00870E58" w:rsidP="00B540A8">
            <w:pPr>
              <w:spacing w:after="0" w:line="240" w:lineRule="auto"/>
              <w:ind w:right="167"/>
              <w:jc w:val="right"/>
              <w:rPr>
                <w:rFonts w:eastAsia="Times New Roman"/>
                <w:szCs w:val="24"/>
                <w:lang w:eastAsia="en-GB"/>
              </w:rPr>
            </w:pPr>
            <w:r w:rsidRPr="00870E58">
              <w:rPr>
                <w:rFonts w:eastAsia="Times New Roman"/>
                <w:szCs w:val="24"/>
                <w:lang w:eastAsia="en-GB"/>
              </w:rPr>
              <w:t>833,582,116</w:t>
            </w:r>
          </w:p>
        </w:tc>
        <w:tc>
          <w:tcPr>
            <w:tcW w:w="1791" w:type="dxa"/>
            <w:shd w:val="clear" w:color="auto" w:fill="auto"/>
            <w:tcMar>
              <w:bottom w:w="142" w:type="dxa"/>
            </w:tcMar>
            <w:vAlign w:val="bottom"/>
          </w:tcPr>
          <w:p w:rsidR="00870E58" w:rsidRPr="00870E58" w:rsidRDefault="00870E58" w:rsidP="00DE55AE">
            <w:pPr>
              <w:spacing w:after="0" w:line="240" w:lineRule="auto"/>
              <w:ind w:right="399"/>
              <w:jc w:val="right"/>
              <w:rPr>
                <w:rFonts w:eastAsia="Times New Roman"/>
                <w:szCs w:val="24"/>
                <w:lang w:eastAsia="en-GB"/>
              </w:rPr>
            </w:pPr>
            <w:r w:rsidRPr="00870E58">
              <w:rPr>
                <w:rFonts w:eastAsia="Times New Roman"/>
                <w:szCs w:val="24"/>
                <w:lang w:eastAsia="en-GB"/>
              </w:rPr>
              <w:t>11.30</w:t>
            </w:r>
          </w:p>
        </w:tc>
      </w:tr>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DE55AE">
            <w:pPr>
              <w:spacing w:after="0" w:line="240" w:lineRule="auto"/>
              <w:rPr>
                <w:rFonts w:eastAsia="Times New Roman"/>
                <w:szCs w:val="24"/>
                <w:lang w:eastAsia="en-GB"/>
              </w:rPr>
            </w:pPr>
            <w:r w:rsidRPr="00870E58">
              <w:rPr>
                <w:rFonts w:eastAsia="Times New Roman"/>
                <w:szCs w:val="24"/>
                <w:lang w:eastAsia="en-GB"/>
              </w:rPr>
              <w:t>100 - 200</w:t>
            </w:r>
          </w:p>
        </w:tc>
        <w:tc>
          <w:tcPr>
            <w:tcW w:w="1960" w:type="dxa"/>
            <w:shd w:val="clear" w:color="auto" w:fill="auto"/>
            <w:tcMar>
              <w:bottom w:w="142" w:type="dxa"/>
            </w:tcMar>
            <w:vAlign w:val="bottom"/>
          </w:tcPr>
          <w:p w:rsidR="00870E58" w:rsidRPr="00870E58" w:rsidRDefault="00870E58" w:rsidP="00B540A8">
            <w:pPr>
              <w:spacing w:after="0" w:line="240" w:lineRule="auto"/>
              <w:ind w:right="535"/>
              <w:jc w:val="right"/>
              <w:rPr>
                <w:rFonts w:eastAsia="Times New Roman"/>
                <w:szCs w:val="24"/>
                <w:lang w:eastAsia="en-GB"/>
              </w:rPr>
            </w:pPr>
            <w:r w:rsidRPr="00870E58">
              <w:rPr>
                <w:rFonts w:eastAsia="Times New Roman"/>
                <w:szCs w:val="24"/>
                <w:lang w:eastAsia="en-GB"/>
              </w:rPr>
              <w:t>4</w:t>
            </w:r>
          </w:p>
        </w:tc>
        <w:tc>
          <w:tcPr>
            <w:tcW w:w="1900" w:type="dxa"/>
            <w:shd w:val="clear" w:color="auto" w:fill="auto"/>
            <w:tcMar>
              <w:bottom w:w="142" w:type="dxa"/>
            </w:tcMar>
            <w:vAlign w:val="bottom"/>
          </w:tcPr>
          <w:p w:rsidR="00870E58" w:rsidRPr="00870E58" w:rsidRDefault="00870E58" w:rsidP="00B540A8">
            <w:pPr>
              <w:spacing w:after="0" w:line="240" w:lineRule="auto"/>
              <w:ind w:right="167"/>
              <w:jc w:val="right"/>
              <w:rPr>
                <w:rFonts w:eastAsia="Times New Roman"/>
                <w:szCs w:val="24"/>
                <w:lang w:eastAsia="en-GB"/>
              </w:rPr>
            </w:pPr>
            <w:r w:rsidRPr="00870E58">
              <w:rPr>
                <w:rFonts w:eastAsia="Times New Roman"/>
                <w:szCs w:val="24"/>
                <w:lang w:eastAsia="en-GB"/>
              </w:rPr>
              <w:t>485,938,551</w:t>
            </w:r>
          </w:p>
        </w:tc>
        <w:tc>
          <w:tcPr>
            <w:tcW w:w="1791" w:type="dxa"/>
            <w:shd w:val="clear" w:color="auto" w:fill="auto"/>
            <w:tcMar>
              <w:bottom w:w="142" w:type="dxa"/>
            </w:tcMar>
            <w:vAlign w:val="bottom"/>
          </w:tcPr>
          <w:p w:rsidR="00870E58" w:rsidRPr="00870E58" w:rsidRDefault="00870E58" w:rsidP="00DE55AE">
            <w:pPr>
              <w:spacing w:after="0" w:line="240" w:lineRule="auto"/>
              <w:ind w:right="399"/>
              <w:jc w:val="right"/>
              <w:rPr>
                <w:rFonts w:eastAsia="Times New Roman"/>
                <w:szCs w:val="24"/>
                <w:lang w:eastAsia="en-GB"/>
              </w:rPr>
            </w:pPr>
            <w:r w:rsidRPr="00870E58">
              <w:rPr>
                <w:rFonts w:eastAsia="Times New Roman"/>
                <w:szCs w:val="24"/>
                <w:lang w:eastAsia="en-GB"/>
              </w:rPr>
              <w:t>6.60</w:t>
            </w:r>
          </w:p>
        </w:tc>
      </w:tr>
      <w:tr w:rsidR="00870E58" w:rsidRPr="00870E58" w:rsidTr="00DE55AE">
        <w:trPr>
          <w:trHeight w:val="300"/>
          <w:jc w:val="center"/>
        </w:trPr>
        <w:tc>
          <w:tcPr>
            <w:tcW w:w="1478" w:type="dxa"/>
            <w:shd w:val="clear" w:color="auto" w:fill="auto"/>
            <w:tcMar>
              <w:bottom w:w="142" w:type="dxa"/>
            </w:tcMar>
            <w:vAlign w:val="bottom"/>
            <w:hideMark/>
          </w:tcPr>
          <w:p w:rsidR="00870E58" w:rsidRPr="00870E58" w:rsidRDefault="00870E58" w:rsidP="00DE55AE">
            <w:pPr>
              <w:spacing w:after="0" w:line="240" w:lineRule="auto"/>
              <w:rPr>
                <w:rFonts w:eastAsia="Times New Roman"/>
                <w:szCs w:val="24"/>
                <w:lang w:eastAsia="en-GB"/>
              </w:rPr>
            </w:pPr>
            <w:r w:rsidRPr="00870E58">
              <w:rPr>
                <w:rFonts w:eastAsia="Times New Roman"/>
                <w:szCs w:val="24"/>
                <w:lang w:eastAsia="en-GB"/>
              </w:rPr>
              <w:t>200 – 250</w:t>
            </w:r>
          </w:p>
        </w:tc>
        <w:tc>
          <w:tcPr>
            <w:tcW w:w="1960" w:type="dxa"/>
            <w:shd w:val="clear" w:color="auto" w:fill="auto"/>
            <w:tcMar>
              <w:bottom w:w="142" w:type="dxa"/>
            </w:tcMar>
            <w:vAlign w:val="bottom"/>
          </w:tcPr>
          <w:p w:rsidR="00870E58" w:rsidRPr="00870E58" w:rsidRDefault="00870E58" w:rsidP="00B540A8">
            <w:pPr>
              <w:spacing w:after="0" w:line="240" w:lineRule="auto"/>
              <w:ind w:right="535"/>
              <w:jc w:val="right"/>
              <w:rPr>
                <w:rFonts w:eastAsia="Times New Roman"/>
                <w:szCs w:val="24"/>
                <w:lang w:eastAsia="en-GB"/>
              </w:rPr>
            </w:pPr>
            <w:r w:rsidRPr="00870E58">
              <w:rPr>
                <w:rFonts w:eastAsia="Times New Roman"/>
                <w:szCs w:val="24"/>
                <w:lang w:eastAsia="en-GB"/>
              </w:rPr>
              <w:t>1</w:t>
            </w:r>
          </w:p>
        </w:tc>
        <w:tc>
          <w:tcPr>
            <w:tcW w:w="1900" w:type="dxa"/>
            <w:shd w:val="clear" w:color="auto" w:fill="auto"/>
            <w:tcMar>
              <w:bottom w:w="142" w:type="dxa"/>
            </w:tcMar>
            <w:vAlign w:val="bottom"/>
          </w:tcPr>
          <w:p w:rsidR="00870E58" w:rsidRPr="00870E58" w:rsidRDefault="00870E58" w:rsidP="00B540A8">
            <w:pPr>
              <w:spacing w:after="0" w:line="240" w:lineRule="auto"/>
              <w:ind w:right="167"/>
              <w:jc w:val="right"/>
              <w:rPr>
                <w:rFonts w:eastAsia="Times New Roman"/>
                <w:szCs w:val="24"/>
                <w:lang w:eastAsia="en-GB"/>
              </w:rPr>
            </w:pPr>
            <w:r w:rsidRPr="00870E58">
              <w:rPr>
                <w:rFonts w:eastAsia="Times New Roman"/>
                <w:szCs w:val="24"/>
                <w:lang w:eastAsia="en-GB"/>
              </w:rPr>
              <w:t>242,750,712</w:t>
            </w:r>
          </w:p>
        </w:tc>
        <w:tc>
          <w:tcPr>
            <w:tcW w:w="1791" w:type="dxa"/>
            <w:shd w:val="clear" w:color="auto" w:fill="auto"/>
            <w:tcMar>
              <w:bottom w:w="142" w:type="dxa"/>
            </w:tcMar>
            <w:vAlign w:val="bottom"/>
          </w:tcPr>
          <w:p w:rsidR="00870E58" w:rsidRPr="00870E58" w:rsidRDefault="00870E58" w:rsidP="00DE55AE">
            <w:pPr>
              <w:spacing w:after="0" w:line="240" w:lineRule="auto"/>
              <w:ind w:right="399"/>
              <w:jc w:val="right"/>
              <w:rPr>
                <w:rFonts w:eastAsia="Times New Roman"/>
                <w:szCs w:val="24"/>
                <w:lang w:eastAsia="en-GB"/>
              </w:rPr>
            </w:pPr>
            <w:r w:rsidRPr="00870E58">
              <w:rPr>
                <w:rFonts w:eastAsia="Times New Roman"/>
                <w:szCs w:val="24"/>
                <w:lang w:eastAsia="en-GB"/>
              </w:rPr>
              <w:t>3.29</w:t>
            </w:r>
          </w:p>
        </w:tc>
      </w:tr>
      <w:tr w:rsidR="00870E58" w:rsidRPr="00870E58" w:rsidTr="00DE55AE">
        <w:trPr>
          <w:trHeight w:val="300"/>
          <w:jc w:val="center"/>
        </w:trPr>
        <w:tc>
          <w:tcPr>
            <w:tcW w:w="1478" w:type="dxa"/>
            <w:shd w:val="clear" w:color="auto" w:fill="auto"/>
            <w:vAlign w:val="bottom"/>
            <w:hideMark/>
          </w:tcPr>
          <w:p w:rsidR="00870E58" w:rsidRPr="00870E58" w:rsidRDefault="00870E58" w:rsidP="00DE55AE">
            <w:pPr>
              <w:spacing w:after="0" w:line="240" w:lineRule="auto"/>
              <w:rPr>
                <w:rFonts w:eastAsia="Times New Roman"/>
                <w:b/>
                <w:szCs w:val="24"/>
                <w:lang w:eastAsia="en-GB"/>
              </w:rPr>
            </w:pPr>
            <w:r w:rsidRPr="00870E58">
              <w:rPr>
                <w:rFonts w:eastAsia="Times New Roman"/>
                <w:b/>
                <w:szCs w:val="24"/>
                <w:lang w:eastAsia="en-GB"/>
              </w:rPr>
              <w:t>Total</w:t>
            </w:r>
          </w:p>
        </w:tc>
        <w:tc>
          <w:tcPr>
            <w:tcW w:w="1960" w:type="dxa"/>
            <w:shd w:val="clear" w:color="auto" w:fill="auto"/>
            <w:vAlign w:val="bottom"/>
          </w:tcPr>
          <w:p w:rsidR="00870E58" w:rsidRPr="00870E58" w:rsidRDefault="00870E58" w:rsidP="00B540A8">
            <w:pPr>
              <w:spacing w:after="0" w:line="240" w:lineRule="auto"/>
              <w:ind w:right="535"/>
              <w:jc w:val="right"/>
              <w:rPr>
                <w:rFonts w:eastAsia="Times New Roman"/>
                <w:b/>
                <w:bCs/>
                <w:szCs w:val="24"/>
                <w:lang w:eastAsia="en-GB"/>
              </w:rPr>
            </w:pPr>
            <w:r w:rsidRPr="00870E58">
              <w:rPr>
                <w:rFonts w:eastAsia="Times New Roman"/>
                <w:b/>
                <w:bCs/>
                <w:szCs w:val="24"/>
                <w:lang w:eastAsia="en-GB"/>
              </w:rPr>
              <w:t>39,790</w:t>
            </w:r>
          </w:p>
        </w:tc>
        <w:tc>
          <w:tcPr>
            <w:tcW w:w="1900" w:type="dxa"/>
            <w:shd w:val="clear" w:color="auto" w:fill="auto"/>
            <w:vAlign w:val="bottom"/>
          </w:tcPr>
          <w:p w:rsidR="00870E58" w:rsidRPr="00870E58" w:rsidRDefault="00870E58" w:rsidP="00B540A8">
            <w:pPr>
              <w:spacing w:after="0" w:line="240" w:lineRule="auto"/>
              <w:ind w:right="167"/>
              <w:jc w:val="right"/>
              <w:rPr>
                <w:rFonts w:eastAsia="Times New Roman"/>
                <w:b/>
                <w:bCs/>
                <w:szCs w:val="24"/>
                <w:lang w:eastAsia="en-GB"/>
              </w:rPr>
            </w:pPr>
            <w:r w:rsidRPr="00870E58">
              <w:rPr>
                <w:rFonts w:eastAsia="Times New Roman"/>
                <w:b/>
                <w:bCs/>
                <w:szCs w:val="24"/>
                <w:lang w:eastAsia="en-GB"/>
              </w:rPr>
              <w:t>7,374,003,498</w:t>
            </w:r>
          </w:p>
        </w:tc>
        <w:tc>
          <w:tcPr>
            <w:tcW w:w="1791" w:type="dxa"/>
            <w:shd w:val="clear" w:color="auto" w:fill="auto"/>
            <w:vAlign w:val="bottom"/>
          </w:tcPr>
          <w:p w:rsidR="00870E58" w:rsidRPr="00870E58" w:rsidRDefault="00870E58" w:rsidP="00DE55AE">
            <w:pPr>
              <w:spacing w:after="0" w:line="240" w:lineRule="auto"/>
              <w:ind w:right="399"/>
              <w:jc w:val="right"/>
              <w:rPr>
                <w:rFonts w:eastAsia="Times New Roman"/>
                <w:b/>
                <w:bCs/>
                <w:szCs w:val="24"/>
                <w:lang w:eastAsia="en-GB"/>
              </w:rPr>
            </w:pPr>
          </w:p>
        </w:tc>
      </w:tr>
    </w:tbl>
    <w:p w:rsidR="00870E58" w:rsidRPr="00870E58" w:rsidRDefault="00870E58" w:rsidP="00B540A8">
      <w:pPr>
        <w:pBdr>
          <w:bottom w:val="single" w:sz="4" w:space="1" w:color="auto"/>
        </w:pBdr>
        <w:autoSpaceDE w:val="0"/>
        <w:autoSpaceDN w:val="0"/>
        <w:adjustRightInd w:val="0"/>
        <w:spacing w:after="0" w:line="240" w:lineRule="auto"/>
        <w:rPr>
          <w:color w:val="FF0000"/>
          <w:szCs w:val="24"/>
        </w:rPr>
      </w:pPr>
    </w:p>
    <w:p w:rsidR="00870E58" w:rsidRPr="00870E58" w:rsidRDefault="00870E58" w:rsidP="00B540A8">
      <w:pPr>
        <w:autoSpaceDE w:val="0"/>
        <w:autoSpaceDN w:val="0"/>
        <w:adjustRightInd w:val="0"/>
        <w:spacing w:after="0" w:line="240" w:lineRule="auto"/>
        <w:rPr>
          <w:i/>
          <w:iCs/>
          <w:sz w:val="20"/>
          <w:szCs w:val="20"/>
        </w:rPr>
      </w:pPr>
      <w:r w:rsidRPr="00870E58">
        <w:rPr>
          <w:i/>
          <w:iCs/>
          <w:sz w:val="20"/>
          <w:szCs w:val="20"/>
        </w:rPr>
        <w:t>Source: Collectible Debt Report - Debt Management Unit</w:t>
      </w:r>
    </w:p>
    <w:p w:rsidR="00870E58" w:rsidRPr="00870E58" w:rsidRDefault="00870E58" w:rsidP="00870E58">
      <w:pPr>
        <w:autoSpaceDE w:val="0"/>
        <w:autoSpaceDN w:val="0"/>
        <w:adjustRightInd w:val="0"/>
        <w:spacing w:after="0" w:line="240" w:lineRule="auto"/>
        <w:rPr>
          <w:iCs/>
          <w:sz w:val="20"/>
          <w:szCs w:val="20"/>
        </w:rPr>
      </w:pPr>
    </w:p>
    <w:p w:rsidR="00870E58" w:rsidRPr="00870E58" w:rsidRDefault="00870E58" w:rsidP="00B628CB">
      <w:pPr>
        <w:numPr>
          <w:ilvl w:val="0"/>
          <w:numId w:val="31"/>
        </w:numPr>
        <w:autoSpaceDE w:val="0"/>
        <w:autoSpaceDN w:val="0"/>
        <w:adjustRightInd w:val="0"/>
        <w:spacing w:after="0" w:line="240" w:lineRule="auto"/>
        <w:ind w:left="720"/>
        <w:contextualSpacing/>
        <w:jc w:val="both"/>
        <w:rPr>
          <w:b/>
          <w:szCs w:val="24"/>
        </w:rPr>
      </w:pPr>
      <w:r w:rsidRPr="00870E58">
        <w:rPr>
          <w:szCs w:val="24"/>
          <w:lang w:val="en-GB"/>
        </w:rPr>
        <w:t>As of 30 June 2017</w:t>
      </w:r>
      <w:r w:rsidRPr="00870E58">
        <w:rPr>
          <w:szCs w:val="24"/>
        </w:rPr>
        <w:t>, Rs 3,828,241,322 were owed by only 124 taxpayers. This represented nearly 52 per cent of the total arrears of Rs 7,374,003,498;</w:t>
      </w:r>
    </w:p>
    <w:p w:rsidR="00870E58" w:rsidRPr="00870E58" w:rsidRDefault="00870E58" w:rsidP="00B628CB">
      <w:pPr>
        <w:autoSpaceDE w:val="0"/>
        <w:autoSpaceDN w:val="0"/>
        <w:adjustRightInd w:val="0"/>
        <w:spacing w:after="0" w:line="240" w:lineRule="auto"/>
        <w:ind w:left="720" w:hanging="360"/>
        <w:contextualSpacing/>
        <w:jc w:val="both"/>
        <w:rPr>
          <w:b/>
          <w:szCs w:val="24"/>
        </w:rPr>
      </w:pPr>
    </w:p>
    <w:p w:rsidR="00870E58" w:rsidRPr="00870E58" w:rsidRDefault="00870E58" w:rsidP="00B628CB">
      <w:pPr>
        <w:numPr>
          <w:ilvl w:val="0"/>
          <w:numId w:val="31"/>
        </w:numPr>
        <w:autoSpaceDE w:val="0"/>
        <w:autoSpaceDN w:val="0"/>
        <w:adjustRightInd w:val="0"/>
        <w:spacing w:after="0" w:line="240" w:lineRule="auto"/>
        <w:ind w:left="720"/>
        <w:contextualSpacing/>
        <w:jc w:val="both"/>
        <w:rPr>
          <w:szCs w:val="24"/>
          <w:lang w:val="en-GB"/>
        </w:rPr>
      </w:pPr>
      <w:r w:rsidRPr="00870E58">
        <w:rPr>
          <w:szCs w:val="24"/>
        </w:rPr>
        <w:t xml:space="preserve">Of the 124 taxpayers, 107 owed a total of Rs 2,265,969,943 in the range of </w:t>
      </w:r>
      <w:r w:rsidR="00B540A8">
        <w:rPr>
          <w:szCs w:val="24"/>
        </w:rPr>
        <w:br/>
      </w:r>
      <w:r w:rsidRPr="00870E58">
        <w:rPr>
          <w:szCs w:val="24"/>
        </w:rPr>
        <w:t xml:space="preserve">Rs 10 million and Rs 50 million while </w:t>
      </w:r>
      <w:r w:rsidRPr="00870E58">
        <w:rPr>
          <w:szCs w:val="24"/>
          <w:lang w:val="en-GB"/>
        </w:rPr>
        <w:t xml:space="preserve">17 taxpayers owed MRA a total of </w:t>
      </w:r>
      <w:r w:rsidR="00B540A8">
        <w:rPr>
          <w:szCs w:val="24"/>
          <w:lang w:val="en-GB"/>
        </w:rPr>
        <w:br/>
      </w:r>
      <w:r w:rsidRPr="00870E58">
        <w:rPr>
          <w:szCs w:val="24"/>
          <w:lang w:val="en-GB"/>
        </w:rPr>
        <w:t xml:space="preserve">Rs 1,562,271,379, which is approximately 21.2 </w:t>
      </w:r>
      <w:r w:rsidRPr="00870E58">
        <w:rPr>
          <w:szCs w:val="24"/>
        </w:rPr>
        <w:t>per cent of total debts.</w:t>
      </w:r>
    </w:p>
    <w:p w:rsidR="00870E58" w:rsidRPr="00870E58" w:rsidRDefault="00870E58" w:rsidP="00B628CB">
      <w:pPr>
        <w:spacing w:after="0" w:line="240" w:lineRule="auto"/>
        <w:ind w:left="720"/>
        <w:contextualSpacing/>
        <w:rPr>
          <w:szCs w:val="24"/>
        </w:rPr>
      </w:pPr>
    </w:p>
    <w:p w:rsidR="00870E58" w:rsidRPr="00870E58" w:rsidRDefault="00CA4A50" w:rsidP="00B628CB">
      <w:pPr>
        <w:spacing w:after="0" w:line="240" w:lineRule="auto"/>
        <w:contextualSpacing/>
        <w:jc w:val="both"/>
        <w:rPr>
          <w:b/>
          <w:i/>
          <w:szCs w:val="24"/>
        </w:rPr>
      </w:pPr>
      <w:r>
        <w:rPr>
          <w:b/>
          <w:i/>
          <w:szCs w:val="24"/>
        </w:rPr>
        <w:t>6.4.3</w:t>
      </w:r>
      <w:r w:rsidR="00B628CB">
        <w:rPr>
          <w:b/>
          <w:i/>
          <w:szCs w:val="24"/>
        </w:rPr>
        <w:tab/>
      </w:r>
      <w:r w:rsidR="00870E58" w:rsidRPr="00870E58">
        <w:rPr>
          <w:b/>
          <w:i/>
          <w:szCs w:val="24"/>
        </w:rPr>
        <w:t>Recovery of Arrears</w:t>
      </w:r>
    </w:p>
    <w:p w:rsidR="00870E58" w:rsidRPr="00870E58" w:rsidRDefault="00870E58" w:rsidP="00B628CB">
      <w:pPr>
        <w:spacing w:after="0" w:line="240" w:lineRule="auto"/>
        <w:contextualSpacing/>
        <w:jc w:val="both"/>
        <w:rPr>
          <w:i/>
          <w:szCs w:val="24"/>
        </w:rPr>
      </w:pPr>
    </w:p>
    <w:p w:rsidR="00870E58" w:rsidRDefault="003B2DE0" w:rsidP="00B628CB">
      <w:pPr>
        <w:spacing w:after="0" w:line="240" w:lineRule="auto"/>
        <w:jc w:val="both"/>
        <w:rPr>
          <w:szCs w:val="24"/>
        </w:rPr>
      </w:pPr>
      <w:r>
        <w:rPr>
          <w:rFonts w:eastAsia="Times New Roman"/>
          <w:szCs w:val="24"/>
          <w:bdr w:val="none" w:sz="0" w:space="0" w:color="auto" w:frame="1"/>
          <w:lang w:val="en-GB"/>
        </w:rPr>
        <w:t>Arrears are recovered</w:t>
      </w:r>
      <w:r w:rsidR="00870E58" w:rsidRPr="00870E58">
        <w:rPr>
          <w:rFonts w:eastAsia="Times New Roman"/>
          <w:szCs w:val="24"/>
          <w:bdr w:val="none" w:sz="0" w:space="0" w:color="auto" w:frame="1"/>
          <w:lang w:val="en-GB"/>
        </w:rPr>
        <w:t xml:space="preserve"> either from settlements made volun</w:t>
      </w:r>
      <w:r w:rsidR="0095055A">
        <w:rPr>
          <w:rFonts w:eastAsia="Times New Roman"/>
          <w:szCs w:val="24"/>
          <w:bdr w:val="none" w:sz="0" w:space="0" w:color="auto" w:frame="1"/>
          <w:lang w:val="en-GB"/>
        </w:rPr>
        <w:t xml:space="preserve">tarily by taxpayers or efforts </w:t>
      </w:r>
      <w:r w:rsidR="00870E58" w:rsidRPr="00870E58">
        <w:rPr>
          <w:rFonts w:eastAsia="Times New Roman"/>
          <w:szCs w:val="24"/>
          <w:bdr w:val="none" w:sz="0" w:space="0" w:color="auto" w:frame="1"/>
          <w:lang w:val="en-GB"/>
        </w:rPr>
        <w:t>taken by the MRA, using various enforcement tools provided under Tax Acts.</w:t>
      </w:r>
      <w:r w:rsidR="003C3E99">
        <w:rPr>
          <w:color w:val="FF0000"/>
          <w:szCs w:val="24"/>
        </w:rPr>
        <w:t xml:space="preserve"> </w:t>
      </w:r>
      <w:r w:rsidR="00870E58" w:rsidRPr="00870E58">
        <w:rPr>
          <w:szCs w:val="24"/>
        </w:rPr>
        <w:t xml:space="preserve">The rate of debt recovery against opening arrears of 1 July 2016 is shown at Table </w:t>
      </w:r>
      <w:r w:rsidR="00CA4A50">
        <w:rPr>
          <w:szCs w:val="24"/>
        </w:rPr>
        <w:t>6-9</w:t>
      </w:r>
      <w:r w:rsidR="00870E58" w:rsidRPr="00870E58">
        <w:rPr>
          <w:szCs w:val="24"/>
        </w:rPr>
        <w:t>.</w:t>
      </w:r>
    </w:p>
    <w:p w:rsidR="003B2DE0" w:rsidRPr="00870E58" w:rsidRDefault="003B2DE0" w:rsidP="00B628CB">
      <w:pPr>
        <w:spacing w:after="0" w:line="240" w:lineRule="auto"/>
        <w:jc w:val="both"/>
        <w:rPr>
          <w:szCs w:val="24"/>
        </w:rPr>
      </w:pPr>
    </w:p>
    <w:p w:rsidR="00870E58" w:rsidRDefault="00CA4A50" w:rsidP="00B540A8">
      <w:pPr>
        <w:spacing w:after="0" w:line="240" w:lineRule="auto"/>
        <w:jc w:val="center"/>
        <w:rPr>
          <w:i/>
          <w:szCs w:val="24"/>
        </w:rPr>
      </w:pPr>
      <w:r>
        <w:rPr>
          <w:i/>
          <w:szCs w:val="24"/>
        </w:rPr>
        <w:t xml:space="preserve">Table </w:t>
      </w:r>
      <w:bookmarkStart w:id="9" w:name="_Hlk507250087"/>
      <w:r>
        <w:rPr>
          <w:i/>
          <w:szCs w:val="24"/>
        </w:rPr>
        <w:t>6-</w:t>
      </w:r>
      <w:proofErr w:type="gramStart"/>
      <w:r>
        <w:rPr>
          <w:i/>
          <w:szCs w:val="24"/>
        </w:rPr>
        <w:t>9</w:t>
      </w:r>
      <w:r w:rsidR="00B628CB">
        <w:rPr>
          <w:i/>
          <w:szCs w:val="24"/>
        </w:rPr>
        <w:t xml:space="preserve">  </w:t>
      </w:r>
      <w:r w:rsidR="00870E58" w:rsidRPr="00870E58">
        <w:rPr>
          <w:i/>
          <w:szCs w:val="24"/>
        </w:rPr>
        <w:t>Rate</w:t>
      </w:r>
      <w:proofErr w:type="gramEnd"/>
      <w:r w:rsidR="00870E58" w:rsidRPr="00870E58">
        <w:rPr>
          <w:i/>
          <w:szCs w:val="24"/>
        </w:rPr>
        <w:t xml:space="preserve"> of Recovery of Arrears of Tax</w:t>
      </w:r>
      <w:bookmarkEnd w:id="9"/>
    </w:p>
    <w:p w:rsidR="00B540A8" w:rsidRDefault="00B540A8" w:rsidP="00B540A8">
      <w:pPr>
        <w:spacing w:after="0" w:line="240" w:lineRule="auto"/>
        <w:jc w:val="center"/>
        <w:rPr>
          <w:i/>
          <w:szCs w:val="24"/>
        </w:rPr>
      </w:pPr>
    </w:p>
    <w:p w:rsidR="00B540A8" w:rsidRPr="00870E58" w:rsidRDefault="00B540A8" w:rsidP="00B540A8">
      <w:pPr>
        <w:pBdr>
          <w:top w:val="single" w:sz="4" w:space="1" w:color="auto"/>
        </w:pBdr>
        <w:spacing w:after="0" w:line="240" w:lineRule="auto"/>
        <w:jc w:val="center"/>
        <w:rPr>
          <w:i/>
          <w:szCs w:val="24"/>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1852"/>
        <w:gridCol w:w="2268"/>
        <w:gridCol w:w="1579"/>
      </w:tblGrid>
      <w:tr w:rsidR="00870E58" w:rsidRPr="00B628CB" w:rsidTr="00B540A8">
        <w:trPr>
          <w:trHeight w:val="20"/>
          <w:jc w:val="center"/>
        </w:trPr>
        <w:tc>
          <w:tcPr>
            <w:tcW w:w="2254" w:type="dxa"/>
            <w:tcMar>
              <w:bottom w:w="142" w:type="dxa"/>
            </w:tcMar>
          </w:tcPr>
          <w:p w:rsidR="00870E58" w:rsidRPr="00B628CB" w:rsidRDefault="00870E58" w:rsidP="00B540A8">
            <w:pPr>
              <w:spacing w:line="259" w:lineRule="auto"/>
              <w:jc w:val="both"/>
              <w:rPr>
                <w:rFonts w:ascii="Times New Roman" w:hAnsi="Times New Roman"/>
                <w:b/>
                <w:color w:val="000000"/>
                <w:sz w:val="24"/>
                <w:szCs w:val="24"/>
                <w:lang w:val="en-GB"/>
              </w:rPr>
            </w:pPr>
            <w:r w:rsidRPr="00B628CB">
              <w:rPr>
                <w:rFonts w:ascii="Times New Roman" w:hAnsi="Times New Roman"/>
                <w:b/>
                <w:color w:val="000000"/>
                <w:sz w:val="24"/>
                <w:szCs w:val="24"/>
                <w:lang w:val="en-GB"/>
              </w:rPr>
              <w:t>Period</w:t>
            </w:r>
          </w:p>
        </w:tc>
        <w:tc>
          <w:tcPr>
            <w:tcW w:w="1852" w:type="dxa"/>
            <w:tcMar>
              <w:bottom w:w="142" w:type="dxa"/>
            </w:tcMar>
          </w:tcPr>
          <w:p w:rsidR="00B540A8" w:rsidRDefault="00870E58" w:rsidP="00B540A8">
            <w:pPr>
              <w:spacing w:line="259" w:lineRule="auto"/>
              <w:jc w:val="center"/>
              <w:rPr>
                <w:rFonts w:ascii="Times New Roman" w:hAnsi="Times New Roman"/>
                <w:b/>
                <w:color w:val="000000"/>
                <w:sz w:val="24"/>
                <w:szCs w:val="24"/>
                <w:lang w:val="en-GB"/>
              </w:rPr>
            </w:pPr>
            <w:r w:rsidRPr="00B628CB">
              <w:rPr>
                <w:rFonts w:ascii="Times New Roman" w:hAnsi="Times New Roman"/>
                <w:b/>
                <w:color w:val="000000"/>
                <w:sz w:val="24"/>
                <w:szCs w:val="24"/>
                <w:lang w:val="en-GB"/>
              </w:rPr>
              <w:t>Arrears as of</w:t>
            </w:r>
            <w:r w:rsidR="00B540A8">
              <w:rPr>
                <w:rFonts w:ascii="Times New Roman" w:hAnsi="Times New Roman"/>
                <w:b/>
                <w:color w:val="000000"/>
                <w:sz w:val="24"/>
                <w:szCs w:val="24"/>
                <w:lang w:val="en-GB"/>
              </w:rPr>
              <w:t xml:space="preserve"> </w:t>
            </w:r>
            <w:r w:rsidRPr="00B628CB">
              <w:rPr>
                <w:rFonts w:ascii="Times New Roman" w:hAnsi="Times New Roman"/>
                <w:b/>
                <w:color w:val="000000"/>
                <w:sz w:val="24"/>
                <w:szCs w:val="24"/>
                <w:lang w:val="en-GB"/>
              </w:rPr>
              <w:t>30 June 2016</w:t>
            </w:r>
          </w:p>
          <w:p w:rsidR="00870E58" w:rsidRPr="00B628CB" w:rsidRDefault="00870E58" w:rsidP="00B540A8">
            <w:pPr>
              <w:spacing w:line="259" w:lineRule="auto"/>
              <w:jc w:val="center"/>
              <w:rPr>
                <w:rFonts w:ascii="Times New Roman" w:hAnsi="Times New Roman"/>
                <w:b/>
                <w:color w:val="000000"/>
                <w:sz w:val="24"/>
                <w:szCs w:val="24"/>
                <w:lang w:val="en-GB"/>
              </w:rPr>
            </w:pPr>
            <w:r w:rsidRPr="00B628CB">
              <w:rPr>
                <w:rFonts w:ascii="Times New Roman" w:hAnsi="Times New Roman"/>
                <w:b/>
                <w:color w:val="000000"/>
                <w:sz w:val="24"/>
                <w:szCs w:val="24"/>
                <w:lang w:val="en-GB"/>
              </w:rPr>
              <w:t>(Rs)</w:t>
            </w:r>
          </w:p>
        </w:tc>
        <w:tc>
          <w:tcPr>
            <w:tcW w:w="2268" w:type="dxa"/>
            <w:tcMar>
              <w:bottom w:w="142" w:type="dxa"/>
            </w:tcMar>
          </w:tcPr>
          <w:p w:rsidR="00B540A8" w:rsidRDefault="00870E58" w:rsidP="00B540A8">
            <w:pPr>
              <w:spacing w:line="259" w:lineRule="auto"/>
              <w:jc w:val="center"/>
              <w:rPr>
                <w:rFonts w:ascii="Times New Roman" w:hAnsi="Times New Roman"/>
                <w:b/>
                <w:color w:val="000000"/>
                <w:sz w:val="24"/>
                <w:szCs w:val="24"/>
                <w:lang w:val="en-GB"/>
              </w:rPr>
            </w:pPr>
            <w:r w:rsidRPr="00B628CB">
              <w:rPr>
                <w:rFonts w:ascii="Times New Roman" w:hAnsi="Times New Roman"/>
                <w:b/>
                <w:color w:val="000000"/>
                <w:sz w:val="24"/>
                <w:szCs w:val="24"/>
                <w:lang w:val="en-GB"/>
              </w:rPr>
              <w:t>Total Collections</w:t>
            </w:r>
            <w:r w:rsidR="00B540A8">
              <w:rPr>
                <w:rFonts w:ascii="Times New Roman" w:hAnsi="Times New Roman"/>
                <w:b/>
                <w:color w:val="000000"/>
                <w:sz w:val="24"/>
                <w:szCs w:val="24"/>
                <w:lang w:val="en-GB"/>
              </w:rPr>
              <w:t xml:space="preserve"> 2016-17</w:t>
            </w:r>
          </w:p>
          <w:p w:rsidR="00870E58" w:rsidRPr="00B628CB" w:rsidRDefault="00870E58" w:rsidP="00B540A8">
            <w:pPr>
              <w:spacing w:line="259" w:lineRule="auto"/>
              <w:jc w:val="center"/>
              <w:rPr>
                <w:rFonts w:ascii="Times New Roman" w:hAnsi="Times New Roman"/>
                <w:b/>
                <w:color w:val="000000"/>
                <w:sz w:val="24"/>
                <w:szCs w:val="24"/>
                <w:lang w:val="en-GB"/>
              </w:rPr>
            </w:pPr>
            <w:r w:rsidRPr="00B628CB">
              <w:rPr>
                <w:rFonts w:ascii="Times New Roman" w:hAnsi="Times New Roman"/>
                <w:b/>
                <w:color w:val="000000"/>
                <w:sz w:val="24"/>
                <w:szCs w:val="24"/>
                <w:lang w:val="en-GB"/>
              </w:rPr>
              <w:t>(Rs)</w:t>
            </w:r>
          </w:p>
        </w:tc>
        <w:tc>
          <w:tcPr>
            <w:tcW w:w="1579" w:type="dxa"/>
            <w:tcMar>
              <w:bottom w:w="142" w:type="dxa"/>
            </w:tcMar>
          </w:tcPr>
          <w:p w:rsidR="00870E58" w:rsidRPr="00B628CB" w:rsidRDefault="00870E58" w:rsidP="00B540A8">
            <w:pPr>
              <w:spacing w:line="259" w:lineRule="auto"/>
              <w:jc w:val="center"/>
              <w:rPr>
                <w:rFonts w:ascii="Times New Roman" w:hAnsi="Times New Roman"/>
                <w:b/>
                <w:color w:val="000000"/>
                <w:sz w:val="24"/>
                <w:szCs w:val="24"/>
                <w:lang w:val="en-GB"/>
              </w:rPr>
            </w:pPr>
            <w:r w:rsidRPr="00B628CB">
              <w:rPr>
                <w:rFonts w:ascii="Times New Roman" w:hAnsi="Times New Roman"/>
                <w:b/>
                <w:color w:val="000000"/>
                <w:sz w:val="24"/>
                <w:szCs w:val="24"/>
                <w:lang w:val="en-GB"/>
              </w:rPr>
              <w:t>% recovery of Arrears</w:t>
            </w:r>
          </w:p>
        </w:tc>
      </w:tr>
      <w:tr w:rsidR="00870E58" w:rsidRPr="00B628CB" w:rsidTr="00B540A8">
        <w:trPr>
          <w:trHeight w:val="20"/>
          <w:jc w:val="center"/>
        </w:trPr>
        <w:tc>
          <w:tcPr>
            <w:tcW w:w="2254" w:type="dxa"/>
            <w:tcMar>
              <w:bottom w:w="142" w:type="dxa"/>
            </w:tcMar>
            <w:vAlign w:val="center"/>
          </w:tcPr>
          <w:p w:rsidR="00870E58" w:rsidRPr="00B628CB" w:rsidRDefault="00870E58" w:rsidP="00B540A8">
            <w:pPr>
              <w:spacing w:line="259" w:lineRule="auto"/>
              <w:jc w:val="both"/>
              <w:rPr>
                <w:rFonts w:ascii="Times New Roman" w:hAnsi="Times New Roman"/>
                <w:color w:val="000000"/>
                <w:sz w:val="24"/>
                <w:szCs w:val="24"/>
                <w:lang w:val="en-GB"/>
              </w:rPr>
            </w:pPr>
            <w:r w:rsidRPr="00B628CB">
              <w:rPr>
                <w:rFonts w:ascii="Times New Roman" w:hAnsi="Times New Roman"/>
                <w:color w:val="000000"/>
                <w:sz w:val="24"/>
                <w:szCs w:val="24"/>
                <w:lang w:val="en-GB"/>
              </w:rPr>
              <w:t>1993-1999</w:t>
            </w:r>
          </w:p>
        </w:tc>
        <w:tc>
          <w:tcPr>
            <w:tcW w:w="1852" w:type="dxa"/>
            <w:tcMar>
              <w:bottom w:w="142" w:type="dxa"/>
            </w:tcMar>
            <w:vAlign w:val="center"/>
          </w:tcPr>
          <w:p w:rsidR="00870E58" w:rsidRPr="00B628CB" w:rsidRDefault="00870E58" w:rsidP="006E33B9">
            <w:pPr>
              <w:spacing w:line="259" w:lineRule="auto"/>
              <w:ind w:right="103"/>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175,835,911</w:t>
            </w:r>
          </w:p>
        </w:tc>
        <w:tc>
          <w:tcPr>
            <w:tcW w:w="2268" w:type="dxa"/>
            <w:tcMar>
              <w:bottom w:w="142" w:type="dxa"/>
            </w:tcMar>
            <w:vAlign w:val="center"/>
          </w:tcPr>
          <w:p w:rsidR="00870E58" w:rsidRPr="00B628CB" w:rsidRDefault="00870E58" w:rsidP="00B540A8">
            <w:pPr>
              <w:spacing w:line="259" w:lineRule="auto"/>
              <w:ind w:right="528"/>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715,255</w:t>
            </w:r>
          </w:p>
        </w:tc>
        <w:tc>
          <w:tcPr>
            <w:tcW w:w="1579" w:type="dxa"/>
            <w:tcMar>
              <w:bottom w:w="142" w:type="dxa"/>
            </w:tcMar>
            <w:vAlign w:val="center"/>
          </w:tcPr>
          <w:p w:rsidR="00870E58" w:rsidRPr="00B628CB" w:rsidRDefault="00870E58" w:rsidP="00B540A8">
            <w:pPr>
              <w:spacing w:line="259" w:lineRule="auto"/>
              <w:ind w:right="406"/>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0.41</w:t>
            </w:r>
          </w:p>
        </w:tc>
      </w:tr>
      <w:tr w:rsidR="00870E58" w:rsidRPr="00B628CB" w:rsidTr="00B540A8">
        <w:trPr>
          <w:trHeight w:val="20"/>
          <w:jc w:val="center"/>
        </w:trPr>
        <w:tc>
          <w:tcPr>
            <w:tcW w:w="2254" w:type="dxa"/>
            <w:tcMar>
              <w:bottom w:w="142" w:type="dxa"/>
            </w:tcMar>
            <w:vAlign w:val="center"/>
          </w:tcPr>
          <w:p w:rsidR="00870E58" w:rsidRPr="00B628CB" w:rsidRDefault="00870E58" w:rsidP="00B540A8">
            <w:pPr>
              <w:spacing w:line="259" w:lineRule="auto"/>
              <w:jc w:val="both"/>
              <w:rPr>
                <w:rFonts w:ascii="Times New Roman" w:hAnsi="Times New Roman"/>
                <w:color w:val="000000"/>
                <w:sz w:val="24"/>
                <w:szCs w:val="24"/>
                <w:lang w:val="en-GB"/>
              </w:rPr>
            </w:pPr>
            <w:r w:rsidRPr="00B628CB">
              <w:rPr>
                <w:rFonts w:ascii="Times New Roman" w:hAnsi="Times New Roman"/>
                <w:color w:val="000000"/>
                <w:sz w:val="24"/>
                <w:szCs w:val="24"/>
                <w:lang w:val="en-GB"/>
              </w:rPr>
              <w:t>2000-2009</w:t>
            </w:r>
          </w:p>
        </w:tc>
        <w:tc>
          <w:tcPr>
            <w:tcW w:w="1852" w:type="dxa"/>
            <w:tcMar>
              <w:bottom w:w="142" w:type="dxa"/>
            </w:tcMar>
            <w:vAlign w:val="center"/>
          </w:tcPr>
          <w:p w:rsidR="00870E58" w:rsidRPr="00B628CB" w:rsidRDefault="00870E58" w:rsidP="006E33B9">
            <w:pPr>
              <w:spacing w:line="259" w:lineRule="auto"/>
              <w:ind w:right="103"/>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1,007,044,218</w:t>
            </w:r>
          </w:p>
        </w:tc>
        <w:tc>
          <w:tcPr>
            <w:tcW w:w="2268" w:type="dxa"/>
            <w:tcMar>
              <w:bottom w:w="142" w:type="dxa"/>
            </w:tcMar>
            <w:vAlign w:val="center"/>
          </w:tcPr>
          <w:p w:rsidR="00870E58" w:rsidRPr="00B628CB" w:rsidRDefault="00870E58" w:rsidP="00B540A8">
            <w:pPr>
              <w:spacing w:line="259" w:lineRule="auto"/>
              <w:ind w:right="528"/>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12,897,241</w:t>
            </w:r>
          </w:p>
        </w:tc>
        <w:tc>
          <w:tcPr>
            <w:tcW w:w="1579" w:type="dxa"/>
            <w:tcMar>
              <w:bottom w:w="142" w:type="dxa"/>
            </w:tcMar>
            <w:vAlign w:val="center"/>
          </w:tcPr>
          <w:p w:rsidR="00870E58" w:rsidRPr="00B628CB" w:rsidRDefault="00870E58" w:rsidP="00B540A8">
            <w:pPr>
              <w:spacing w:line="259" w:lineRule="auto"/>
              <w:ind w:right="406"/>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1.28</w:t>
            </w:r>
          </w:p>
        </w:tc>
      </w:tr>
      <w:tr w:rsidR="00870E58" w:rsidRPr="00B628CB" w:rsidTr="00B540A8">
        <w:trPr>
          <w:trHeight w:val="20"/>
          <w:jc w:val="center"/>
        </w:trPr>
        <w:tc>
          <w:tcPr>
            <w:tcW w:w="2254" w:type="dxa"/>
            <w:tcMar>
              <w:bottom w:w="142" w:type="dxa"/>
            </w:tcMar>
            <w:vAlign w:val="center"/>
          </w:tcPr>
          <w:p w:rsidR="00870E58" w:rsidRPr="00B628CB" w:rsidRDefault="00870E58" w:rsidP="00B540A8">
            <w:pPr>
              <w:spacing w:line="259" w:lineRule="auto"/>
              <w:jc w:val="both"/>
              <w:rPr>
                <w:rFonts w:ascii="Times New Roman" w:hAnsi="Times New Roman"/>
                <w:color w:val="000000"/>
                <w:sz w:val="24"/>
                <w:szCs w:val="24"/>
                <w:lang w:val="en-GB"/>
              </w:rPr>
            </w:pPr>
            <w:r w:rsidRPr="00B628CB">
              <w:rPr>
                <w:rFonts w:ascii="Times New Roman" w:hAnsi="Times New Roman"/>
                <w:color w:val="000000"/>
                <w:sz w:val="24"/>
                <w:szCs w:val="24"/>
                <w:lang w:val="en-GB"/>
              </w:rPr>
              <w:t>2010-2015</w:t>
            </w:r>
          </w:p>
        </w:tc>
        <w:tc>
          <w:tcPr>
            <w:tcW w:w="1852" w:type="dxa"/>
            <w:tcMar>
              <w:bottom w:w="142" w:type="dxa"/>
            </w:tcMar>
            <w:vAlign w:val="center"/>
          </w:tcPr>
          <w:p w:rsidR="00870E58" w:rsidRPr="00B628CB" w:rsidRDefault="00870E58" w:rsidP="006E33B9">
            <w:pPr>
              <w:spacing w:line="259" w:lineRule="auto"/>
              <w:ind w:right="103"/>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3,714,586,463</w:t>
            </w:r>
          </w:p>
        </w:tc>
        <w:tc>
          <w:tcPr>
            <w:tcW w:w="2268" w:type="dxa"/>
            <w:tcMar>
              <w:bottom w:w="142" w:type="dxa"/>
            </w:tcMar>
            <w:vAlign w:val="center"/>
          </w:tcPr>
          <w:p w:rsidR="00870E58" w:rsidRPr="00B628CB" w:rsidRDefault="00870E58" w:rsidP="00B540A8">
            <w:pPr>
              <w:spacing w:line="259" w:lineRule="auto"/>
              <w:ind w:right="528"/>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331,190,273</w:t>
            </w:r>
          </w:p>
        </w:tc>
        <w:tc>
          <w:tcPr>
            <w:tcW w:w="1579" w:type="dxa"/>
            <w:tcMar>
              <w:bottom w:w="142" w:type="dxa"/>
            </w:tcMar>
            <w:vAlign w:val="center"/>
          </w:tcPr>
          <w:p w:rsidR="00870E58" w:rsidRPr="00B628CB" w:rsidRDefault="00870E58" w:rsidP="00B540A8">
            <w:pPr>
              <w:spacing w:line="259" w:lineRule="auto"/>
              <w:ind w:right="406"/>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8.92</w:t>
            </w:r>
          </w:p>
        </w:tc>
      </w:tr>
      <w:tr w:rsidR="00870E58" w:rsidRPr="00B628CB" w:rsidTr="00B540A8">
        <w:trPr>
          <w:trHeight w:val="20"/>
          <w:jc w:val="center"/>
        </w:trPr>
        <w:tc>
          <w:tcPr>
            <w:tcW w:w="2254" w:type="dxa"/>
            <w:tcMar>
              <w:bottom w:w="142" w:type="dxa"/>
            </w:tcMar>
            <w:vAlign w:val="center"/>
          </w:tcPr>
          <w:p w:rsidR="00870E58" w:rsidRPr="00B628CB" w:rsidRDefault="00870E58" w:rsidP="00B540A8">
            <w:pPr>
              <w:spacing w:line="259" w:lineRule="auto"/>
              <w:jc w:val="both"/>
              <w:rPr>
                <w:rFonts w:ascii="Times New Roman" w:hAnsi="Times New Roman"/>
                <w:color w:val="000000"/>
                <w:sz w:val="24"/>
                <w:szCs w:val="24"/>
                <w:lang w:val="en-GB"/>
              </w:rPr>
            </w:pPr>
            <w:r w:rsidRPr="00B628CB">
              <w:rPr>
                <w:rFonts w:ascii="Times New Roman" w:hAnsi="Times New Roman"/>
                <w:color w:val="000000"/>
                <w:sz w:val="24"/>
                <w:szCs w:val="24"/>
                <w:lang w:val="en-GB"/>
              </w:rPr>
              <w:t>January to June 2016</w:t>
            </w:r>
          </w:p>
        </w:tc>
        <w:tc>
          <w:tcPr>
            <w:tcW w:w="1852" w:type="dxa"/>
            <w:tcMar>
              <w:bottom w:w="142" w:type="dxa"/>
            </w:tcMar>
            <w:vAlign w:val="bottom"/>
          </w:tcPr>
          <w:p w:rsidR="00870E58" w:rsidRPr="00B628CB" w:rsidRDefault="00870E58" w:rsidP="006E33B9">
            <w:pPr>
              <w:spacing w:line="259" w:lineRule="auto"/>
              <w:ind w:right="103"/>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948,202,781</w:t>
            </w:r>
          </w:p>
        </w:tc>
        <w:tc>
          <w:tcPr>
            <w:tcW w:w="2268" w:type="dxa"/>
            <w:tcMar>
              <w:bottom w:w="142" w:type="dxa"/>
            </w:tcMar>
            <w:vAlign w:val="center"/>
          </w:tcPr>
          <w:p w:rsidR="00870E58" w:rsidRPr="00B628CB" w:rsidRDefault="00870E58" w:rsidP="00B540A8">
            <w:pPr>
              <w:spacing w:line="259" w:lineRule="auto"/>
              <w:ind w:right="528"/>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450,597,317</w:t>
            </w:r>
          </w:p>
        </w:tc>
        <w:tc>
          <w:tcPr>
            <w:tcW w:w="1579" w:type="dxa"/>
            <w:tcMar>
              <w:bottom w:w="142" w:type="dxa"/>
            </w:tcMar>
            <w:vAlign w:val="center"/>
          </w:tcPr>
          <w:p w:rsidR="00870E58" w:rsidRPr="00B628CB" w:rsidRDefault="00870E58" w:rsidP="00B540A8">
            <w:pPr>
              <w:spacing w:line="259" w:lineRule="auto"/>
              <w:ind w:right="406"/>
              <w:jc w:val="right"/>
              <w:rPr>
                <w:rFonts w:ascii="Times New Roman" w:hAnsi="Times New Roman"/>
                <w:color w:val="000000"/>
                <w:sz w:val="24"/>
                <w:szCs w:val="24"/>
                <w:lang w:val="en-GB"/>
              </w:rPr>
            </w:pPr>
            <w:r w:rsidRPr="00B628CB">
              <w:rPr>
                <w:rFonts w:ascii="Times New Roman" w:hAnsi="Times New Roman"/>
                <w:color w:val="000000"/>
                <w:sz w:val="24"/>
                <w:szCs w:val="24"/>
                <w:lang w:val="en-GB"/>
              </w:rPr>
              <w:t>47.52</w:t>
            </w:r>
          </w:p>
        </w:tc>
      </w:tr>
      <w:tr w:rsidR="00870E58" w:rsidRPr="00B628CB" w:rsidTr="00B540A8">
        <w:trPr>
          <w:trHeight w:val="20"/>
          <w:jc w:val="center"/>
        </w:trPr>
        <w:tc>
          <w:tcPr>
            <w:tcW w:w="2254" w:type="dxa"/>
            <w:vAlign w:val="center"/>
          </w:tcPr>
          <w:p w:rsidR="00870E58" w:rsidRPr="00B628CB" w:rsidRDefault="00870E58" w:rsidP="00B540A8">
            <w:pPr>
              <w:spacing w:line="259" w:lineRule="auto"/>
              <w:jc w:val="both"/>
              <w:rPr>
                <w:rFonts w:ascii="Times New Roman" w:hAnsi="Times New Roman"/>
                <w:color w:val="000000"/>
                <w:sz w:val="24"/>
                <w:szCs w:val="24"/>
                <w:lang w:val="en-GB"/>
              </w:rPr>
            </w:pPr>
          </w:p>
        </w:tc>
        <w:tc>
          <w:tcPr>
            <w:tcW w:w="1852" w:type="dxa"/>
            <w:vAlign w:val="bottom"/>
          </w:tcPr>
          <w:p w:rsidR="00870E58" w:rsidRPr="00B628CB" w:rsidRDefault="00870E58" w:rsidP="006E33B9">
            <w:pPr>
              <w:spacing w:line="259" w:lineRule="auto"/>
              <w:ind w:right="103"/>
              <w:jc w:val="right"/>
              <w:rPr>
                <w:rFonts w:ascii="Times New Roman" w:hAnsi="Times New Roman"/>
                <w:b/>
                <w:bCs/>
                <w:color w:val="000000"/>
                <w:sz w:val="24"/>
                <w:szCs w:val="24"/>
                <w:lang w:val="en-GB"/>
              </w:rPr>
            </w:pPr>
            <w:r w:rsidRPr="00B628CB">
              <w:rPr>
                <w:rFonts w:ascii="Times New Roman" w:hAnsi="Times New Roman"/>
                <w:b/>
                <w:bCs/>
                <w:sz w:val="24"/>
                <w:szCs w:val="24"/>
                <w:lang w:val="en-GB"/>
              </w:rPr>
              <w:t>5,845,669,373</w:t>
            </w:r>
          </w:p>
        </w:tc>
        <w:tc>
          <w:tcPr>
            <w:tcW w:w="2268" w:type="dxa"/>
            <w:vAlign w:val="bottom"/>
          </w:tcPr>
          <w:p w:rsidR="00870E58" w:rsidRPr="00B628CB" w:rsidRDefault="00870E58" w:rsidP="00B540A8">
            <w:pPr>
              <w:spacing w:line="259" w:lineRule="auto"/>
              <w:ind w:right="528"/>
              <w:jc w:val="right"/>
              <w:rPr>
                <w:rFonts w:ascii="Times New Roman" w:hAnsi="Times New Roman"/>
                <w:b/>
                <w:bCs/>
                <w:color w:val="000000"/>
                <w:sz w:val="24"/>
                <w:szCs w:val="24"/>
                <w:lang w:val="en-GB"/>
              </w:rPr>
            </w:pPr>
            <w:r w:rsidRPr="00B628CB">
              <w:rPr>
                <w:rFonts w:ascii="Times New Roman" w:hAnsi="Times New Roman"/>
                <w:b/>
                <w:bCs/>
                <w:color w:val="000000"/>
                <w:sz w:val="24"/>
                <w:szCs w:val="24"/>
                <w:lang w:val="en-GB"/>
              </w:rPr>
              <w:t>795,400,086</w:t>
            </w:r>
          </w:p>
        </w:tc>
        <w:tc>
          <w:tcPr>
            <w:tcW w:w="1579" w:type="dxa"/>
            <w:vAlign w:val="bottom"/>
          </w:tcPr>
          <w:p w:rsidR="00870E58" w:rsidRPr="00B628CB" w:rsidRDefault="00870E58" w:rsidP="00B540A8">
            <w:pPr>
              <w:spacing w:line="259" w:lineRule="auto"/>
              <w:ind w:right="406"/>
              <w:jc w:val="right"/>
              <w:rPr>
                <w:rFonts w:ascii="Times New Roman" w:hAnsi="Times New Roman"/>
                <w:b/>
                <w:bCs/>
                <w:color w:val="000000"/>
                <w:sz w:val="24"/>
                <w:szCs w:val="24"/>
                <w:lang w:val="en-GB"/>
              </w:rPr>
            </w:pPr>
            <w:r w:rsidRPr="00B628CB">
              <w:rPr>
                <w:rFonts w:ascii="Times New Roman" w:hAnsi="Times New Roman"/>
                <w:b/>
                <w:bCs/>
                <w:color w:val="000000"/>
                <w:sz w:val="24"/>
                <w:szCs w:val="24"/>
                <w:lang w:val="en-GB"/>
              </w:rPr>
              <w:t>13.61</w:t>
            </w:r>
          </w:p>
        </w:tc>
      </w:tr>
    </w:tbl>
    <w:p w:rsidR="00870E58" w:rsidRPr="00870E58" w:rsidRDefault="00870E58" w:rsidP="00B540A8">
      <w:pPr>
        <w:pBdr>
          <w:bottom w:val="single" w:sz="4" w:space="1" w:color="auto"/>
        </w:pBdr>
        <w:spacing w:after="0" w:line="240" w:lineRule="auto"/>
        <w:rPr>
          <w:i/>
          <w:sz w:val="20"/>
          <w:szCs w:val="20"/>
        </w:rPr>
      </w:pPr>
    </w:p>
    <w:p w:rsidR="00870E58" w:rsidRDefault="00870E58" w:rsidP="00870E58">
      <w:pPr>
        <w:spacing w:after="0" w:line="240" w:lineRule="auto"/>
        <w:rPr>
          <w:i/>
          <w:sz w:val="20"/>
          <w:szCs w:val="20"/>
        </w:rPr>
      </w:pPr>
      <w:r w:rsidRPr="00870E58">
        <w:rPr>
          <w:i/>
          <w:sz w:val="20"/>
          <w:szCs w:val="20"/>
        </w:rPr>
        <w:t>Source:</w:t>
      </w:r>
      <w:r w:rsidR="003C3E99">
        <w:rPr>
          <w:i/>
          <w:sz w:val="20"/>
          <w:szCs w:val="20"/>
        </w:rPr>
        <w:t xml:space="preserve"> </w:t>
      </w:r>
      <w:r w:rsidRPr="00870E58">
        <w:rPr>
          <w:i/>
          <w:sz w:val="20"/>
          <w:szCs w:val="20"/>
        </w:rPr>
        <w:t>Statement of Arrears of Revenue Submitted to Accountant General</w:t>
      </w:r>
    </w:p>
    <w:p w:rsidR="00B628CB" w:rsidRPr="00870E58" w:rsidRDefault="00B628CB" w:rsidP="001019AF">
      <w:pPr>
        <w:spacing w:after="0" w:line="240" w:lineRule="auto"/>
        <w:rPr>
          <w:i/>
          <w:sz w:val="20"/>
          <w:szCs w:val="20"/>
        </w:rPr>
      </w:pPr>
    </w:p>
    <w:p w:rsidR="00870E58" w:rsidRPr="00870E58" w:rsidRDefault="00870E58" w:rsidP="001019AF">
      <w:pPr>
        <w:numPr>
          <w:ilvl w:val="0"/>
          <w:numId w:val="5"/>
        </w:numPr>
        <w:spacing w:after="0" w:line="240" w:lineRule="auto"/>
        <w:contextualSpacing/>
        <w:jc w:val="both"/>
        <w:rPr>
          <w:szCs w:val="24"/>
        </w:rPr>
      </w:pPr>
      <w:r w:rsidRPr="00870E58">
        <w:rPr>
          <w:szCs w:val="24"/>
        </w:rPr>
        <w:t xml:space="preserve">During 2016-17, recovery of arrears </w:t>
      </w:r>
      <w:proofErr w:type="spellStart"/>
      <w:r w:rsidRPr="00870E58">
        <w:rPr>
          <w:szCs w:val="24"/>
        </w:rPr>
        <w:t>totalled</w:t>
      </w:r>
      <w:proofErr w:type="spellEnd"/>
      <w:r w:rsidR="003B2DE0">
        <w:rPr>
          <w:szCs w:val="24"/>
        </w:rPr>
        <w:t xml:space="preserve"> Rs 795,400,086. This represented</w:t>
      </w:r>
      <w:r w:rsidRPr="00870E58">
        <w:rPr>
          <w:szCs w:val="24"/>
        </w:rPr>
        <w:t xml:space="preserve"> </w:t>
      </w:r>
      <w:r w:rsidR="006E33B9">
        <w:rPr>
          <w:szCs w:val="24"/>
        </w:rPr>
        <w:br/>
      </w:r>
      <w:r w:rsidRPr="00870E58">
        <w:rPr>
          <w:szCs w:val="24"/>
        </w:rPr>
        <w:t>13.61 per cent of opening arrears of Rs 5,845,669,373;</w:t>
      </w:r>
      <w:r w:rsidR="003C3E99">
        <w:rPr>
          <w:szCs w:val="24"/>
        </w:rPr>
        <w:t xml:space="preserve"> </w:t>
      </w:r>
    </w:p>
    <w:p w:rsidR="00870E58" w:rsidRPr="00870E58" w:rsidRDefault="00870E58" w:rsidP="001019AF">
      <w:pPr>
        <w:spacing w:after="0" w:line="240" w:lineRule="auto"/>
        <w:contextualSpacing/>
        <w:jc w:val="both"/>
        <w:rPr>
          <w:szCs w:val="24"/>
        </w:rPr>
      </w:pPr>
    </w:p>
    <w:p w:rsidR="00870E58" w:rsidRPr="00870E58" w:rsidRDefault="00870E58" w:rsidP="001019AF">
      <w:pPr>
        <w:numPr>
          <w:ilvl w:val="0"/>
          <w:numId w:val="5"/>
        </w:numPr>
        <w:spacing w:after="0" w:line="240" w:lineRule="auto"/>
        <w:contextualSpacing/>
        <w:jc w:val="both"/>
        <w:rPr>
          <w:szCs w:val="24"/>
        </w:rPr>
      </w:pPr>
      <w:r w:rsidRPr="00870E58">
        <w:rPr>
          <w:szCs w:val="24"/>
        </w:rPr>
        <w:lastRenderedPageBreak/>
        <w:t>As</w:t>
      </w:r>
      <w:r w:rsidR="00AE28B4">
        <w:rPr>
          <w:szCs w:val="24"/>
        </w:rPr>
        <w:t xml:space="preserve"> depicted in above T</w:t>
      </w:r>
      <w:r w:rsidRPr="00870E58">
        <w:rPr>
          <w:szCs w:val="24"/>
        </w:rPr>
        <w:t xml:space="preserve">able, old debts are still difficult to recover. </w:t>
      </w:r>
      <w:r w:rsidRPr="00870E58">
        <w:rPr>
          <w:iCs/>
          <w:szCs w:val="24"/>
        </w:rPr>
        <w:t>For debts p</w:t>
      </w:r>
      <w:r w:rsidRPr="00870E58">
        <w:rPr>
          <w:szCs w:val="24"/>
        </w:rPr>
        <w:t xml:space="preserve">rior to 2000, only 0.4 per cent of total arrears of Rs </w:t>
      </w:r>
      <w:r w:rsidRPr="00870E58">
        <w:rPr>
          <w:color w:val="000000"/>
          <w:szCs w:val="24"/>
        </w:rPr>
        <w:t>175,835,911</w:t>
      </w:r>
      <w:r w:rsidR="00AE28B4">
        <w:rPr>
          <w:color w:val="000000"/>
          <w:szCs w:val="24"/>
        </w:rPr>
        <w:t xml:space="preserve"> </w:t>
      </w:r>
      <w:r w:rsidR="00AE28B4" w:rsidRPr="00870E58">
        <w:rPr>
          <w:szCs w:val="24"/>
        </w:rPr>
        <w:t>was settled.</w:t>
      </w:r>
      <w:r w:rsidR="00AE28B4">
        <w:rPr>
          <w:szCs w:val="24"/>
        </w:rPr>
        <w:t xml:space="preserve"> </w:t>
      </w:r>
      <w:r w:rsidR="00AE28B4">
        <w:rPr>
          <w:color w:val="000000"/>
          <w:sz w:val="22"/>
        </w:rPr>
        <w:t xml:space="preserve">For debts between </w:t>
      </w:r>
      <w:r w:rsidRPr="00870E58">
        <w:rPr>
          <w:szCs w:val="24"/>
        </w:rPr>
        <w:t>2000-2009 and 2010-2015, the rate of recovery of arrears was merely 1.28 per cent and 8.92 per cent respectively;</w:t>
      </w:r>
    </w:p>
    <w:p w:rsidR="00870E58" w:rsidRPr="00870E58" w:rsidRDefault="00870E58" w:rsidP="001019AF">
      <w:pPr>
        <w:spacing w:after="0" w:line="240" w:lineRule="auto"/>
        <w:contextualSpacing/>
        <w:rPr>
          <w:szCs w:val="24"/>
        </w:rPr>
      </w:pPr>
    </w:p>
    <w:p w:rsidR="00870E58" w:rsidRPr="00870E58" w:rsidRDefault="00870E58" w:rsidP="001019AF">
      <w:pPr>
        <w:numPr>
          <w:ilvl w:val="0"/>
          <w:numId w:val="5"/>
        </w:numPr>
        <w:spacing w:after="0" w:line="240" w:lineRule="auto"/>
        <w:contextualSpacing/>
        <w:jc w:val="both"/>
        <w:rPr>
          <w:szCs w:val="24"/>
        </w:rPr>
      </w:pPr>
      <w:r w:rsidRPr="00870E58">
        <w:rPr>
          <w:szCs w:val="24"/>
        </w:rPr>
        <w:t xml:space="preserve">For </w:t>
      </w:r>
      <w:r w:rsidR="00AE28B4">
        <w:rPr>
          <w:szCs w:val="24"/>
        </w:rPr>
        <w:t xml:space="preserve">debts relating to </w:t>
      </w:r>
      <w:r w:rsidRPr="00870E58">
        <w:rPr>
          <w:szCs w:val="24"/>
        </w:rPr>
        <w:t xml:space="preserve">the period January to June 2016, the rate of recovery of arrears was nearly 48 per cent. A total amount of Rs </w:t>
      </w:r>
      <w:r w:rsidRPr="00870E58">
        <w:rPr>
          <w:color w:val="000000"/>
          <w:szCs w:val="24"/>
        </w:rPr>
        <w:t xml:space="preserve">450,597,317 </w:t>
      </w:r>
      <w:r w:rsidRPr="00870E58">
        <w:rPr>
          <w:szCs w:val="24"/>
        </w:rPr>
        <w:t xml:space="preserve">was recouped out of the total arrears of Rs </w:t>
      </w:r>
      <w:r w:rsidRPr="00870E58">
        <w:rPr>
          <w:color w:val="000000"/>
          <w:szCs w:val="24"/>
          <w:lang w:val="en-GB"/>
        </w:rPr>
        <w:t>948,202,781</w:t>
      </w:r>
      <w:r w:rsidRPr="00870E58">
        <w:rPr>
          <w:color w:val="000000"/>
          <w:szCs w:val="24"/>
        </w:rPr>
        <w:t xml:space="preserve">; </w:t>
      </w:r>
    </w:p>
    <w:p w:rsidR="00870E58" w:rsidRPr="00870E58" w:rsidRDefault="00870E58" w:rsidP="001019AF">
      <w:pPr>
        <w:spacing w:after="0" w:line="240" w:lineRule="auto"/>
        <w:contextualSpacing/>
        <w:rPr>
          <w:szCs w:val="24"/>
        </w:rPr>
      </w:pPr>
    </w:p>
    <w:p w:rsidR="00870E58" w:rsidRDefault="00870E58" w:rsidP="006E33B9">
      <w:pPr>
        <w:numPr>
          <w:ilvl w:val="0"/>
          <w:numId w:val="5"/>
        </w:numPr>
        <w:spacing w:after="0" w:line="240" w:lineRule="auto"/>
        <w:contextualSpacing/>
        <w:jc w:val="both"/>
        <w:rPr>
          <w:szCs w:val="24"/>
        </w:rPr>
      </w:pPr>
      <w:r w:rsidRPr="00870E58">
        <w:rPr>
          <w:szCs w:val="24"/>
        </w:rPr>
        <w:t>Although some 88 and 45 per cent of arrears for Environment Protection Fee and PAYE were settled during 2016-17, debt collection was fairly insignificant for t</w:t>
      </w:r>
      <w:r w:rsidR="001019AF">
        <w:rPr>
          <w:szCs w:val="24"/>
        </w:rPr>
        <w:t>he</w:t>
      </w:r>
      <w:r w:rsidR="00CA4A50">
        <w:rPr>
          <w:szCs w:val="24"/>
        </w:rPr>
        <w:t xml:space="preserve"> other types of taxes. Table 6-10</w:t>
      </w:r>
      <w:r w:rsidRPr="00870E58">
        <w:rPr>
          <w:szCs w:val="24"/>
        </w:rPr>
        <w:t xml:space="preserve"> refers.</w:t>
      </w:r>
    </w:p>
    <w:p w:rsidR="001019AF" w:rsidRPr="00870E58" w:rsidRDefault="001019AF" w:rsidP="006E33B9">
      <w:pPr>
        <w:spacing w:after="0" w:line="240" w:lineRule="auto"/>
        <w:ind w:left="360"/>
        <w:contextualSpacing/>
        <w:jc w:val="both"/>
        <w:rPr>
          <w:szCs w:val="24"/>
        </w:rPr>
      </w:pPr>
    </w:p>
    <w:p w:rsidR="00870E58" w:rsidRDefault="00CA4A50" w:rsidP="006E33B9">
      <w:pPr>
        <w:spacing w:line="240" w:lineRule="auto"/>
        <w:ind w:left="720"/>
        <w:contextualSpacing/>
        <w:jc w:val="center"/>
        <w:rPr>
          <w:i/>
          <w:szCs w:val="24"/>
        </w:rPr>
      </w:pPr>
      <w:r>
        <w:rPr>
          <w:i/>
          <w:szCs w:val="24"/>
        </w:rPr>
        <w:t xml:space="preserve">Table </w:t>
      </w:r>
      <w:bookmarkStart w:id="10" w:name="_Hlk507250134"/>
      <w:r>
        <w:rPr>
          <w:i/>
          <w:szCs w:val="24"/>
        </w:rPr>
        <w:t>6-</w:t>
      </w:r>
      <w:proofErr w:type="gramStart"/>
      <w:r>
        <w:rPr>
          <w:i/>
          <w:szCs w:val="24"/>
        </w:rPr>
        <w:t>10</w:t>
      </w:r>
      <w:r w:rsidR="00870E58" w:rsidRPr="00870E58">
        <w:rPr>
          <w:i/>
          <w:szCs w:val="24"/>
        </w:rPr>
        <w:t xml:space="preserve">  Recovery</w:t>
      </w:r>
      <w:proofErr w:type="gramEnd"/>
      <w:r w:rsidR="00870E58" w:rsidRPr="00870E58">
        <w:rPr>
          <w:i/>
          <w:szCs w:val="24"/>
        </w:rPr>
        <w:t xml:space="preserve"> of Arrears by Tax Type</w:t>
      </w:r>
      <w:bookmarkEnd w:id="10"/>
    </w:p>
    <w:p w:rsidR="006E33B9" w:rsidRDefault="006E33B9" w:rsidP="006E33B9">
      <w:pPr>
        <w:spacing w:line="240" w:lineRule="auto"/>
        <w:ind w:left="720"/>
        <w:contextualSpacing/>
        <w:jc w:val="center"/>
        <w:rPr>
          <w:i/>
          <w:szCs w:val="24"/>
        </w:rPr>
      </w:pPr>
    </w:p>
    <w:p w:rsidR="006E33B9" w:rsidRPr="00870E58" w:rsidRDefault="006E33B9" w:rsidP="006E33B9">
      <w:pPr>
        <w:pBdr>
          <w:top w:val="single" w:sz="4" w:space="1" w:color="auto"/>
        </w:pBdr>
        <w:spacing w:line="240" w:lineRule="auto"/>
        <w:ind w:left="720" w:hanging="720"/>
        <w:contextualSpacing/>
        <w:jc w:val="center"/>
        <w:rPr>
          <w:i/>
          <w:szCs w:val="24"/>
        </w:rPr>
      </w:pPr>
    </w:p>
    <w:tbl>
      <w:tblPr>
        <w:tblW w:w="8532" w:type="dxa"/>
        <w:jc w:val="center"/>
        <w:tblLook w:val="04A0" w:firstRow="1" w:lastRow="0" w:firstColumn="1" w:lastColumn="0" w:noHBand="0" w:noVBand="1"/>
      </w:tblPr>
      <w:tblGrid>
        <w:gridCol w:w="3159"/>
        <w:gridCol w:w="1855"/>
        <w:gridCol w:w="1609"/>
        <w:gridCol w:w="1920"/>
      </w:tblGrid>
      <w:tr w:rsidR="00870E58" w:rsidRPr="00870E58" w:rsidTr="00DE55AE">
        <w:trPr>
          <w:trHeight w:val="20"/>
          <w:jc w:val="center"/>
        </w:trPr>
        <w:tc>
          <w:tcPr>
            <w:tcW w:w="3159" w:type="dxa"/>
            <w:shd w:val="clear" w:color="auto" w:fill="auto"/>
            <w:tcMar>
              <w:bottom w:w="142" w:type="dxa"/>
            </w:tcMar>
            <w:vAlign w:val="bottom"/>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Tax Type</w:t>
            </w:r>
          </w:p>
        </w:tc>
        <w:tc>
          <w:tcPr>
            <w:tcW w:w="1855" w:type="dxa"/>
            <w:shd w:val="clear" w:color="auto" w:fill="auto"/>
            <w:tcMar>
              <w:bottom w:w="142" w:type="dxa"/>
            </w:tcMar>
            <w:vAlign w:val="bottom"/>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 xml:space="preserve">Arrears of Revenue at 30 June 2016 </w:t>
            </w:r>
          </w:p>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(Rs)</w:t>
            </w:r>
          </w:p>
        </w:tc>
        <w:tc>
          <w:tcPr>
            <w:tcW w:w="1598" w:type="dxa"/>
            <w:shd w:val="clear" w:color="auto" w:fill="auto"/>
            <w:tcMar>
              <w:bottom w:w="142" w:type="dxa"/>
            </w:tcMar>
            <w:vAlign w:val="bottom"/>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Total Collections (Rs)</w:t>
            </w:r>
          </w:p>
        </w:tc>
        <w:tc>
          <w:tcPr>
            <w:tcW w:w="1920" w:type="dxa"/>
            <w:shd w:val="clear" w:color="auto" w:fill="auto"/>
            <w:tcMar>
              <w:bottom w:w="142" w:type="dxa"/>
            </w:tcMar>
            <w:vAlign w:val="bottom"/>
            <w:hideMark/>
          </w:tcPr>
          <w:p w:rsidR="00870E58" w:rsidRPr="00870E58" w:rsidRDefault="00870E58" w:rsidP="00870E58">
            <w:pPr>
              <w:spacing w:after="0" w:line="240" w:lineRule="auto"/>
              <w:jc w:val="center"/>
              <w:rPr>
                <w:rFonts w:eastAsia="Times New Roman"/>
                <w:b/>
                <w:bCs/>
                <w:color w:val="000000"/>
                <w:szCs w:val="24"/>
                <w:lang w:val="en-GB" w:eastAsia="en-GB"/>
              </w:rPr>
            </w:pPr>
            <w:r w:rsidRPr="00870E58">
              <w:rPr>
                <w:rFonts w:eastAsia="Times New Roman"/>
                <w:b/>
                <w:bCs/>
                <w:color w:val="000000"/>
                <w:szCs w:val="24"/>
                <w:lang w:val="en-GB" w:eastAsia="en-GB"/>
              </w:rPr>
              <w:t>% Recovery of Arrears</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Environment Protection Fee</w:t>
            </w:r>
          </w:p>
        </w:tc>
        <w:tc>
          <w:tcPr>
            <w:tcW w:w="1855" w:type="dxa"/>
            <w:shd w:val="clear" w:color="auto" w:fill="auto"/>
            <w:noWrap/>
            <w:tcMar>
              <w:bottom w:w="142" w:type="dxa"/>
            </w:tcMar>
            <w:vAlign w:val="bottom"/>
          </w:tcPr>
          <w:p w:rsidR="00870E58" w:rsidRPr="00870E58" w:rsidRDefault="00870E58" w:rsidP="00DE55AE">
            <w:pPr>
              <w:spacing w:after="0" w:line="240" w:lineRule="auto"/>
              <w:ind w:right="154"/>
              <w:jc w:val="right"/>
              <w:rPr>
                <w:rFonts w:eastAsia="Times New Roman"/>
                <w:color w:val="000000"/>
                <w:szCs w:val="24"/>
                <w:lang w:val="en-GB" w:eastAsia="en-GB"/>
              </w:rPr>
            </w:pPr>
            <w:r w:rsidRPr="00870E58">
              <w:rPr>
                <w:rFonts w:eastAsia="Times New Roman"/>
                <w:color w:val="000000"/>
                <w:szCs w:val="24"/>
                <w:lang w:val="en-GB" w:eastAsia="en-GB"/>
              </w:rPr>
              <w:t xml:space="preserve">16,527,804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14,598,196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88</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PAYE</w:t>
            </w:r>
          </w:p>
        </w:tc>
        <w:tc>
          <w:tcPr>
            <w:tcW w:w="1855" w:type="dxa"/>
            <w:shd w:val="clear" w:color="auto" w:fill="auto"/>
            <w:noWrap/>
            <w:tcMar>
              <w:bottom w:w="142" w:type="dxa"/>
            </w:tcMar>
            <w:vAlign w:val="bottom"/>
          </w:tcPr>
          <w:p w:rsidR="00870E58" w:rsidRPr="00870E58" w:rsidRDefault="00870E58" w:rsidP="00DE55AE">
            <w:pPr>
              <w:spacing w:after="0" w:line="240" w:lineRule="auto"/>
              <w:ind w:right="154"/>
              <w:jc w:val="right"/>
              <w:rPr>
                <w:rFonts w:eastAsia="Times New Roman"/>
                <w:color w:val="000000"/>
                <w:szCs w:val="24"/>
                <w:lang w:val="en-GB" w:eastAsia="en-GB"/>
              </w:rPr>
            </w:pPr>
            <w:r w:rsidRPr="00870E58">
              <w:rPr>
                <w:rFonts w:eastAsia="Times New Roman"/>
                <w:color w:val="000000"/>
                <w:szCs w:val="24"/>
                <w:lang w:val="en-GB" w:eastAsia="en-GB"/>
              </w:rPr>
              <w:t xml:space="preserve">164,874,596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73,418,189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45</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VAT</w:t>
            </w:r>
          </w:p>
        </w:tc>
        <w:tc>
          <w:tcPr>
            <w:tcW w:w="1855" w:type="dxa"/>
            <w:shd w:val="clear" w:color="auto" w:fill="auto"/>
            <w:noWrap/>
            <w:tcMar>
              <w:bottom w:w="142" w:type="dxa"/>
            </w:tcMar>
            <w:vAlign w:val="bottom"/>
          </w:tcPr>
          <w:p w:rsidR="00870E58" w:rsidRPr="00870E58" w:rsidRDefault="003C3E99" w:rsidP="00DE55AE">
            <w:pPr>
              <w:spacing w:after="0" w:line="240" w:lineRule="auto"/>
              <w:ind w:right="154"/>
              <w:jc w:val="right"/>
              <w:rPr>
                <w:rFonts w:eastAsia="Times New Roman"/>
                <w:color w:val="000000"/>
                <w:szCs w:val="24"/>
                <w:lang w:val="en-GB" w:eastAsia="en-GB"/>
              </w:rPr>
            </w:pPr>
            <w:r>
              <w:rPr>
                <w:rFonts w:eastAsia="Times New Roman"/>
                <w:color w:val="000000"/>
                <w:szCs w:val="24"/>
                <w:lang w:val="en-GB" w:eastAsia="en-GB"/>
              </w:rPr>
              <w:t xml:space="preserve"> </w:t>
            </w:r>
            <w:r w:rsidR="00870E58" w:rsidRPr="00870E58">
              <w:rPr>
                <w:rFonts w:eastAsia="Times New Roman"/>
                <w:color w:val="000000"/>
                <w:szCs w:val="24"/>
                <w:lang w:val="en-GB" w:eastAsia="en-GB"/>
              </w:rPr>
              <w:t xml:space="preserve">2,580,182,100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406,861,392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16</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Betting &amp; Gaming</w:t>
            </w:r>
          </w:p>
        </w:tc>
        <w:tc>
          <w:tcPr>
            <w:tcW w:w="1855" w:type="dxa"/>
            <w:shd w:val="clear" w:color="auto" w:fill="auto"/>
            <w:noWrap/>
            <w:tcMar>
              <w:bottom w:w="142" w:type="dxa"/>
            </w:tcMar>
            <w:vAlign w:val="bottom"/>
          </w:tcPr>
          <w:p w:rsidR="00870E58" w:rsidRPr="00870E58" w:rsidRDefault="00870E58" w:rsidP="00DE55AE">
            <w:pPr>
              <w:spacing w:after="0" w:line="240" w:lineRule="auto"/>
              <w:ind w:right="154"/>
              <w:jc w:val="right"/>
              <w:rPr>
                <w:rFonts w:eastAsia="Times New Roman"/>
                <w:color w:val="000000"/>
                <w:szCs w:val="24"/>
                <w:lang w:val="en-GB" w:eastAsia="en-GB"/>
              </w:rPr>
            </w:pPr>
            <w:r w:rsidRPr="00870E58">
              <w:rPr>
                <w:rFonts w:eastAsia="Times New Roman"/>
                <w:color w:val="000000"/>
                <w:szCs w:val="24"/>
                <w:lang w:val="en-GB" w:eastAsia="en-GB"/>
              </w:rPr>
              <w:t xml:space="preserve">186,756,324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17,771,776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10</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szCs w:val="24"/>
                <w:lang w:eastAsia="en-GB"/>
              </w:rPr>
              <w:t xml:space="preserve">Income Tax </w:t>
            </w:r>
          </w:p>
        </w:tc>
        <w:tc>
          <w:tcPr>
            <w:tcW w:w="1855" w:type="dxa"/>
            <w:shd w:val="clear" w:color="auto" w:fill="auto"/>
            <w:noWrap/>
            <w:tcMar>
              <w:bottom w:w="142" w:type="dxa"/>
            </w:tcMar>
            <w:vAlign w:val="bottom"/>
          </w:tcPr>
          <w:p w:rsidR="00870E58" w:rsidRPr="00870E58" w:rsidRDefault="003C3E99" w:rsidP="00DE55AE">
            <w:pPr>
              <w:spacing w:after="0" w:line="240" w:lineRule="auto"/>
              <w:ind w:right="154"/>
              <w:jc w:val="right"/>
              <w:rPr>
                <w:rFonts w:eastAsia="Times New Roman"/>
                <w:color w:val="000000"/>
                <w:szCs w:val="24"/>
                <w:lang w:val="en-GB" w:eastAsia="en-GB"/>
              </w:rPr>
            </w:pPr>
            <w:r>
              <w:rPr>
                <w:rFonts w:eastAsia="Times New Roman"/>
                <w:color w:val="000000"/>
                <w:szCs w:val="24"/>
                <w:lang w:val="en-GB" w:eastAsia="en-GB"/>
              </w:rPr>
              <w:t xml:space="preserve"> </w:t>
            </w:r>
            <w:r w:rsidR="00870E58" w:rsidRPr="00870E58">
              <w:rPr>
                <w:rFonts w:eastAsia="Times New Roman"/>
                <w:color w:val="000000"/>
                <w:szCs w:val="24"/>
                <w:lang w:val="en-GB" w:eastAsia="en-GB"/>
              </w:rPr>
              <w:t xml:space="preserve">2,698,626,604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270,887,672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10</w:t>
            </w:r>
          </w:p>
        </w:tc>
      </w:tr>
      <w:tr w:rsidR="00870E58" w:rsidRPr="00870E58" w:rsidTr="00DE55AE">
        <w:trPr>
          <w:trHeight w:val="20"/>
          <w:jc w:val="center"/>
        </w:trPr>
        <w:tc>
          <w:tcPr>
            <w:tcW w:w="31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Tax Deducted at Source</w:t>
            </w:r>
          </w:p>
        </w:tc>
        <w:tc>
          <w:tcPr>
            <w:tcW w:w="1855" w:type="dxa"/>
            <w:shd w:val="clear" w:color="auto" w:fill="auto"/>
            <w:noWrap/>
            <w:tcMar>
              <w:bottom w:w="142" w:type="dxa"/>
            </w:tcMar>
            <w:vAlign w:val="bottom"/>
          </w:tcPr>
          <w:p w:rsidR="00870E58" w:rsidRPr="00870E58" w:rsidRDefault="00870E58" w:rsidP="00DE55AE">
            <w:pPr>
              <w:spacing w:after="0" w:line="240" w:lineRule="auto"/>
              <w:ind w:right="154"/>
              <w:jc w:val="right"/>
              <w:rPr>
                <w:rFonts w:eastAsia="Times New Roman"/>
                <w:color w:val="000000"/>
                <w:szCs w:val="24"/>
                <w:lang w:val="en-GB" w:eastAsia="en-GB"/>
              </w:rPr>
            </w:pPr>
            <w:r w:rsidRPr="00870E58">
              <w:rPr>
                <w:rFonts w:eastAsia="Times New Roman"/>
                <w:color w:val="000000"/>
                <w:szCs w:val="24"/>
                <w:lang w:val="en-GB" w:eastAsia="en-GB"/>
              </w:rPr>
              <w:t xml:space="preserve">103,788,602 </w:t>
            </w:r>
          </w:p>
        </w:tc>
        <w:tc>
          <w:tcPr>
            <w:tcW w:w="1598" w:type="dxa"/>
            <w:shd w:val="clear" w:color="auto" w:fill="auto"/>
            <w:noWrap/>
            <w:tcMar>
              <w:bottom w:w="142" w:type="dxa"/>
            </w:tcMar>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8,123,867 </w:t>
            </w:r>
          </w:p>
        </w:tc>
        <w:tc>
          <w:tcPr>
            <w:tcW w:w="1920" w:type="dxa"/>
            <w:shd w:val="clear" w:color="auto" w:fill="auto"/>
            <w:noWrap/>
            <w:tcMar>
              <w:bottom w:w="142" w:type="dxa"/>
            </w:tcMar>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8</w:t>
            </w:r>
          </w:p>
        </w:tc>
      </w:tr>
      <w:tr w:rsidR="00870E58" w:rsidRPr="00870E58" w:rsidTr="006E33B9">
        <w:trPr>
          <w:trHeight w:val="20"/>
          <w:jc w:val="center"/>
        </w:trPr>
        <w:tc>
          <w:tcPr>
            <w:tcW w:w="3159" w:type="dxa"/>
            <w:shd w:val="clear" w:color="auto" w:fill="auto"/>
            <w:noWrap/>
            <w:vAlign w:val="bottom"/>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Advertising Structure Fee</w:t>
            </w:r>
          </w:p>
        </w:tc>
        <w:tc>
          <w:tcPr>
            <w:tcW w:w="1855" w:type="dxa"/>
            <w:shd w:val="clear" w:color="auto" w:fill="auto"/>
            <w:noWrap/>
            <w:vAlign w:val="bottom"/>
          </w:tcPr>
          <w:p w:rsidR="00870E58" w:rsidRPr="00870E58" w:rsidRDefault="00870E58" w:rsidP="00DE55AE">
            <w:pPr>
              <w:spacing w:after="0" w:line="240" w:lineRule="auto"/>
              <w:ind w:right="154"/>
              <w:jc w:val="right"/>
              <w:rPr>
                <w:rFonts w:eastAsia="Times New Roman"/>
                <w:color w:val="000000"/>
                <w:szCs w:val="24"/>
                <w:lang w:val="en-GB" w:eastAsia="en-GB"/>
              </w:rPr>
            </w:pPr>
            <w:r w:rsidRPr="00870E58">
              <w:rPr>
                <w:rFonts w:eastAsia="Times New Roman"/>
                <w:color w:val="000000"/>
                <w:szCs w:val="24"/>
                <w:lang w:val="en-GB" w:eastAsia="en-GB"/>
              </w:rPr>
              <w:t xml:space="preserve">84,116,274 </w:t>
            </w:r>
          </w:p>
        </w:tc>
        <w:tc>
          <w:tcPr>
            <w:tcW w:w="1598" w:type="dxa"/>
            <w:shd w:val="clear" w:color="auto" w:fill="auto"/>
            <w:noWrap/>
            <w:vAlign w:val="bottom"/>
          </w:tcPr>
          <w:p w:rsidR="00870E58" w:rsidRPr="00870E58" w:rsidRDefault="00870E58" w:rsidP="00DE55AE">
            <w:pPr>
              <w:spacing w:after="0" w:line="240" w:lineRule="auto"/>
              <w:ind w:right="193"/>
              <w:jc w:val="right"/>
              <w:rPr>
                <w:rFonts w:eastAsia="Times New Roman"/>
                <w:color w:val="000000"/>
                <w:szCs w:val="24"/>
                <w:lang w:val="en-GB" w:eastAsia="en-GB"/>
              </w:rPr>
            </w:pPr>
            <w:r w:rsidRPr="00870E58">
              <w:rPr>
                <w:rFonts w:eastAsia="Times New Roman"/>
                <w:color w:val="000000"/>
                <w:szCs w:val="24"/>
                <w:lang w:val="en-GB" w:eastAsia="en-GB"/>
              </w:rPr>
              <w:t xml:space="preserve">3,444,988 </w:t>
            </w:r>
          </w:p>
        </w:tc>
        <w:tc>
          <w:tcPr>
            <w:tcW w:w="1920" w:type="dxa"/>
            <w:shd w:val="clear" w:color="auto" w:fill="auto"/>
            <w:noWrap/>
            <w:vAlign w:val="bottom"/>
          </w:tcPr>
          <w:p w:rsidR="00870E58" w:rsidRPr="00870E58" w:rsidRDefault="00870E58" w:rsidP="00DE55AE">
            <w:pPr>
              <w:spacing w:after="0" w:line="240" w:lineRule="auto"/>
              <w:ind w:right="695"/>
              <w:jc w:val="right"/>
              <w:rPr>
                <w:rFonts w:eastAsia="Times New Roman"/>
                <w:color w:val="000000"/>
                <w:szCs w:val="24"/>
                <w:lang w:val="en-GB" w:eastAsia="en-GB"/>
              </w:rPr>
            </w:pPr>
            <w:r w:rsidRPr="00870E58">
              <w:rPr>
                <w:rFonts w:eastAsia="Times New Roman"/>
                <w:color w:val="000000"/>
                <w:szCs w:val="24"/>
                <w:lang w:val="en-GB" w:eastAsia="en-GB"/>
              </w:rPr>
              <w:t>4</w:t>
            </w:r>
          </w:p>
        </w:tc>
      </w:tr>
    </w:tbl>
    <w:p w:rsidR="00870E58" w:rsidRPr="00870E58" w:rsidRDefault="00870E58" w:rsidP="00DE55AE">
      <w:pPr>
        <w:pBdr>
          <w:bottom w:val="single" w:sz="4" w:space="1" w:color="auto"/>
        </w:pBdr>
        <w:spacing w:after="0" w:line="240" w:lineRule="auto"/>
        <w:jc w:val="both"/>
        <w:rPr>
          <w:i/>
          <w:szCs w:val="24"/>
        </w:rPr>
      </w:pPr>
    </w:p>
    <w:p w:rsidR="001019AF" w:rsidRPr="00AE28B4" w:rsidRDefault="00AE28B4" w:rsidP="00870E58">
      <w:pPr>
        <w:spacing w:after="0" w:line="240" w:lineRule="auto"/>
        <w:rPr>
          <w:i/>
          <w:sz w:val="20"/>
          <w:szCs w:val="20"/>
          <w:lang w:val="en-GB"/>
        </w:rPr>
      </w:pPr>
      <w:r w:rsidRPr="00AE28B4">
        <w:rPr>
          <w:i/>
          <w:sz w:val="20"/>
          <w:szCs w:val="20"/>
          <w:lang w:val="en-GB"/>
        </w:rPr>
        <w:t>Source: MRA’s records</w:t>
      </w:r>
    </w:p>
    <w:p w:rsidR="00AE28B4" w:rsidRDefault="00AE28B4" w:rsidP="00870E58">
      <w:pPr>
        <w:spacing w:after="0" w:line="240" w:lineRule="auto"/>
        <w:rPr>
          <w:b/>
          <w:i/>
          <w:szCs w:val="24"/>
          <w:lang w:val="en-GB"/>
        </w:rPr>
      </w:pPr>
    </w:p>
    <w:p w:rsidR="00870E58" w:rsidRPr="00870E58" w:rsidRDefault="00870E58" w:rsidP="001019AF">
      <w:pPr>
        <w:spacing w:after="0" w:line="240" w:lineRule="auto"/>
        <w:rPr>
          <w:b/>
          <w:i/>
          <w:szCs w:val="24"/>
          <w:lang w:val="en-GB"/>
        </w:rPr>
      </w:pPr>
      <w:r w:rsidRPr="00870E58">
        <w:rPr>
          <w:b/>
          <w:i/>
          <w:szCs w:val="24"/>
          <w:lang w:val="en-GB"/>
        </w:rPr>
        <w:t>MRA’s Reply</w:t>
      </w:r>
    </w:p>
    <w:p w:rsidR="00870E58" w:rsidRPr="00870E58" w:rsidRDefault="00870E58" w:rsidP="001019AF">
      <w:pPr>
        <w:widowControl w:val="0"/>
        <w:autoSpaceDE w:val="0"/>
        <w:autoSpaceDN w:val="0"/>
        <w:adjustRightInd w:val="0"/>
        <w:spacing w:after="0" w:line="240" w:lineRule="auto"/>
        <w:jc w:val="both"/>
        <w:rPr>
          <w:szCs w:val="24"/>
        </w:rPr>
      </w:pPr>
    </w:p>
    <w:p w:rsidR="00870E58" w:rsidRPr="00870E58" w:rsidRDefault="00870E58" w:rsidP="001019AF">
      <w:pPr>
        <w:spacing w:after="0" w:line="240" w:lineRule="auto"/>
        <w:jc w:val="both"/>
        <w:rPr>
          <w:szCs w:val="24"/>
        </w:rPr>
      </w:pPr>
      <w:r w:rsidRPr="00870E58">
        <w:rPr>
          <w:szCs w:val="24"/>
        </w:rPr>
        <w:t>As regards Collectible Debts due prior to 30 June 2015, taxpayers may take benefit of the Tax Arrears Settlement Scheme whereby a</w:t>
      </w:r>
      <w:r w:rsidR="00AE28B4">
        <w:rPr>
          <w:szCs w:val="24"/>
        </w:rPr>
        <w:t>ll interests and penalties will</w:t>
      </w:r>
      <w:r w:rsidRPr="00870E58">
        <w:rPr>
          <w:szCs w:val="24"/>
        </w:rPr>
        <w:t xml:space="preserve"> be waived provided the</w:t>
      </w:r>
      <w:r w:rsidR="003C3E99">
        <w:rPr>
          <w:szCs w:val="24"/>
        </w:rPr>
        <w:t xml:space="preserve"> </w:t>
      </w:r>
      <w:r w:rsidRPr="00870E58">
        <w:rPr>
          <w:szCs w:val="24"/>
        </w:rPr>
        <w:t xml:space="preserve">taxpayer enters in an agreement for settlement of the debt by 31 March 2018 at latest and the total amount is settled on or before 31 May 2018. </w:t>
      </w:r>
    </w:p>
    <w:p w:rsidR="00870E58" w:rsidRPr="00870E58" w:rsidRDefault="00870E58" w:rsidP="001019AF">
      <w:pPr>
        <w:autoSpaceDE w:val="0"/>
        <w:autoSpaceDN w:val="0"/>
        <w:adjustRightInd w:val="0"/>
        <w:spacing w:after="0" w:line="240" w:lineRule="auto"/>
        <w:jc w:val="both"/>
        <w:rPr>
          <w:b/>
          <w:i/>
          <w:iCs/>
          <w:szCs w:val="24"/>
        </w:rPr>
      </w:pPr>
    </w:p>
    <w:p w:rsidR="00870E58" w:rsidRPr="00870E58" w:rsidRDefault="00870E58" w:rsidP="00CA4A50">
      <w:pPr>
        <w:autoSpaceDE w:val="0"/>
        <w:autoSpaceDN w:val="0"/>
        <w:adjustRightInd w:val="0"/>
        <w:spacing w:after="0" w:line="240" w:lineRule="auto"/>
        <w:jc w:val="both"/>
        <w:rPr>
          <w:iCs/>
          <w:szCs w:val="24"/>
        </w:rPr>
      </w:pPr>
      <w:r w:rsidRPr="00870E58">
        <w:rPr>
          <w:iCs/>
          <w:szCs w:val="24"/>
        </w:rPr>
        <w:t xml:space="preserve">The ATDR Panel, the EDRTS Scheme and the Tax Arrears </w:t>
      </w:r>
      <w:r w:rsidRPr="00870E58">
        <w:rPr>
          <w:szCs w:val="24"/>
        </w:rPr>
        <w:t>Settlement Scheme have been introduced to address both the stock of debt and the collection of arrears.</w:t>
      </w:r>
      <w:r w:rsidR="003C3E99">
        <w:rPr>
          <w:szCs w:val="24"/>
        </w:rPr>
        <w:t xml:space="preserve"> </w:t>
      </w:r>
      <w:r w:rsidRPr="00870E58">
        <w:rPr>
          <w:szCs w:val="24"/>
        </w:rPr>
        <w:t>The impact of the implementation of these</w:t>
      </w:r>
      <w:r w:rsidR="00723284">
        <w:rPr>
          <w:szCs w:val="24"/>
        </w:rPr>
        <w:t xml:space="preserve"> measures based on cases finalis</w:t>
      </w:r>
      <w:r w:rsidRPr="00870E58">
        <w:rPr>
          <w:szCs w:val="24"/>
        </w:rPr>
        <w:t>ed to date, will be a reduction in the stock of debts (Collectible &amp; Non-Collectible) by some Rs 1.1 billion if the concerned taxpayers meet their commitments, as per the agreement signed with the MRA.</w:t>
      </w:r>
    </w:p>
    <w:p w:rsidR="00CA4A50" w:rsidRDefault="00CA4A50" w:rsidP="00CA4A50">
      <w:pPr>
        <w:autoSpaceDE w:val="0"/>
        <w:autoSpaceDN w:val="0"/>
        <w:adjustRightInd w:val="0"/>
        <w:spacing w:after="0" w:line="240" w:lineRule="auto"/>
        <w:jc w:val="both"/>
        <w:rPr>
          <w:b/>
          <w:i/>
          <w:iCs/>
          <w:szCs w:val="24"/>
        </w:rPr>
      </w:pPr>
    </w:p>
    <w:p w:rsidR="00AE28B4" w:rsidRDefault="00AE28B4">
      <w:pPr>
        <w:rPr>
          <w:b/>
          <w:i/>
          <w:iCs/>
          <w:szCs w:val="24"/>
        </w:rPr>
      </w:pPr>
      <w:r>
        <w:rPr>
          <w:b/>
          <w:i/>
          <w:iCs/>
          <w:szCs w:val="24"/>
        </w:rPr>
        <w:br w:type="page"/>
      </w:r>
    </w:p>
    <w:p w:rsidR="00870E58" w:rsidRPr="00870E58" w:rsidRDefault="00CA4A50" w:rsidP="00CA4A50">
      <w:pPr>
        <w:autoSpaceDE w:val="0"/>
        <w:autoSpaceDN w:val="0"/>
        <w:adjustRightInd w:val="0"/>
        <w:spacing w:after="0" w:line="240" w:lineRule="auto"/>
        <w:jc w:val="both"/>
        <w:rPr>
          <w:rFonts w:eastAsia="Times New Roman"/>
          <w:b/>
          <w:i/>
          <w:szCs w:val="24"/>
          <w:bdr w:val="none" w:sz="0" w:space="0" w:color="auto" w:frame="1"/>
        </w:rPr>
      </w:pPr>
      <w:r>
        <w:rPr>
          <w:b/>
          <w:i/>
          <w:iCs/>
          <w:szCs w:val="24"/>
        </w:rPr>
        <w:lastRenderedPageBreak/>
        <w:t>6.4.4</w:t>
      </w:r>
      <w:r w:rsidR="00870E58" w:rsidRPr="00870E58">
        <w:rPr>
          <w:b/>
          <w:i/>
          <w:iCs/>
          <w:szCs w:val="24"/>
        </w:rPr>
        <w:tab/>
        <w:t>Debt Management</w:t>
      </w:r>
    </w:p>
    <w:p w:rsidR="00870E58" w:rsidRPr="00870E58" w:rsidRDefault="00870E58" w:rsidP="00CA4A50">
      <w:pPr>
        <w:autoSpaceDE w:val="0"/>
        <w:autoSpaceDN w:val="0"/>
        <w:adjustRightInd w:val="0"/>
        <w:spacing w:after="0" w:line="240" w:lineRule="auto"/>
        <w:contextualSpacing/>
        <w:jc w:val="both"/>
        <w:rPr>
          <w:rFonts w:eastAsia="Times New Roman"/>
          <w:color w:val="FF0000"/>
          <w:szCs w:val="24"/>
          <w:bdr w:val="none" w:sz="0" w:space="0" w:color="auto" w:frame="1"/>
        </w:rPr>
      </w:pPr>
    </w:p>
    <w:p w:rsidR="00870E58" w:rsidRPr="00870E58" w:rsidRDefault="00870E58" w:rsidP="00CA4A50">
      <w:pPr>
        <w:shd w:val="clear" w:color="auto" w:fill="FFFFFF"/>
        <w:spacing w:after="0" w:line="240" w:lineRule="auto"/>
        <w:jc w:val="both"/>
        <w:rPr>
          <w:rFonts w:eastAsia="Times New Roman"/>
          <w:szCs w:val="24"/>
        </w:rPr>
      </w:pPr>
      <w:r w:rsidRPr="00870E58">
        <w:rPr>
          <w:szCs w:val="24"/>
          <w:lang w:val="en-GB"/>
        </w:rPr>
        <w:t>Tax debts can either be paid voluntarily by the taxpayer or be collected through enforcement action.</w:t>
      </w:r>
      <w:r w:rsidR="003C3E99">
        <w:rPr>
          <w:szCs w:val="24"/>
          <w:lang w:val="en-GB"/>
        </w:rPr>
        <w:t xml:space="preserve"> </w:t>
      </w:r>
      <w:r w:rsidRPr="00870E58">
        <w:rPr>
          <w:rFonts w:eastAsia="Times New Roman"/>
          <w:szCs w:val="24"/>
        </w:rPr>
        <w:t>Whenever a debt is not settled within the due date, reminders are issued to the taxpayer requesting him to settle the tax due, together with accrued penalties and interests.</w:t>
      </w:r>
      <w:r w:rsidR="003C3E99">
        <w:rPr>
          <w:rFonts w:eastAsia="Times New Roman"/>
          <w:szCs w:val="24"/>
        </w:rPr>
        <w:t xml:space="preserve"> </w:t>
      </w:r>
      <w:r w:rsidR="00723284">
        <w:rPr>
          <w:rFonts w:eastAsia="Times New Roman"/>
          <w:szCs w:val="24"/>
        </w:rPr>
        <w:t xml:space="preserve">In case </w:t>
      </w:r>
      <w:r w:rsidRPr="00870E58">
        <w:rPr>
          <w:rFonts w:eastAsia="Times New Roman"/>
          <w:szCs w:val="24"/>
        </w:rPr>
        <w:t>the</w:t>
      </w:r>
      <w:r w:rsidR="00723284">
        <w:rPr>
          <w:rFonts w:eastAsia="Times New Roman"/>
          <w:szCs w:val="24"/>
        </w:rPr>
        <w:t xml:space="preserve"> amount due following reminders is not paid,</w:t>
      </w:r>
      <w:r w:rsidRPr="00870E58">
        <w:rPr>
          <w:rFonts w:eastAsia="Times New Roman"/>
          <w:szCs w:val="24"/>
        </w:rPr>
        <w:t xml:space="preserve"> enforcement actions are then taken to recover the tax due. </w:t>
      </w:r>
    </w:p>
    <w:p w:rsidR="00870E58" w:rsidRPr="00870E58" w:rsidRDefault="00870E58" w:rsidP="00CA4A50">
      <w:pPr>
        <w:shd w:val="clear" w:color="auto" w:fill="FFFFFF"/>
        <w:spacing w:after="0" w:line="240" w:lineRule="auto"/>
        <w:rPr>
          <w:rFonts w:eastAsia="Times New Roman"/>
          <w:color w:val="006699"/>
          <w:szCs w:val="24"/>
          <w:lang w:val="en-GB" w:eastAsia="en-GB"/>
        </w:rPr>
      </w:pPr>
      <w:r w:rsidRPr="00870E58">
        <w:rPr>
          <w:rFonts w:eastAsia="Times New Roman"/>
          <w:color w:val="333333"/>
          <w:szCs w:val="24"/>
          <w:lang w:val="en-GB" w:eastAsia="en-GB"/>
        </w:rPr>
        <w:t> </w:t>
      </w:r>
    </w:p>
    <w:p w:rsidR="00870E58" w:rsidRPr="00870E58" w:rsidRDefault="00870E58" w:rsidP="00CA4A50">
      <w:pPr>
        <w:spacing w:after="0" w:line="240" w:lineRule="auto"/>
        <w:jc w:val="both"/>
        <w:rPr>
          <w:rFonts w:eastAsia="Times New Roman"/>
          <w:color w:val="000000"/>
          <w:szCs w:val="24"/>
          <w:lang w:val="en-GB" w:eastAsia="en-GB"/>
        </w:rPr>
      </w:pPr>
      <w:r w:rsidRPr="00870E58">
        <w:rPr>
          <w:szCs w:val="24"/>
        </w:rPr>
        <w:t xml:space="preserve">During 2016-17, final claims were issued in </w:t>
      </w:r>
      <w:r w:rsidRPr="00870E58">
        <w:rPr>
          <w:rFonts w:eastAsia="Times New Roman"/>
          <w:color w:val="000000"/>
          <w:szCs w:val="24"/>
          <w:lang w:val="en-GB" w:eastAsia="en-GB"/>
        </w:rPr>
        <w:t xml:space="preserve">9,578 </w:t>
      </w:r>
      <w:r w:rsidRPr="00870E58">
        <w:rPr>
          <w:szCs w:val="24"/>
        </w:rPr>
        <w:t xml:space="preserve">cases whereby the tax amount </w:t>
      </w:r>
      <w:proofErr w:type="spellStart"/>
      <w:r w:rsidRPr="00870E58">
        <w:rPr>
          <w:szCs w:val="24"/>
        </w:rPr>
        <w:t>totalled</w:t>
      </w:r>
      <w:proofErr w:type="spellEnd"/>
      <w:r w:rsidRPr="00870E58">
        <w:rPr>
          <w:szCs w:val="24"/>
        </w:rPr>
        <w:t xml:space="preserve"> Rs </w:t>
      </w:r>
      <w:r w:rsidRPr="00870E58">
        <w:rPr>
          <w:rFonts w:eastAsia="Times New Roman"/>
          <w:color w:val="000000"/>
          <w:szCs w:val="24"/>
          <w:lang w:val="en-GB" w:eastAsia="en-GB"/>
        </w:rPr>
        <w:t>3,602,324,465.</w:t>
      </w:r>
      <w:r w:rsidR="003C3E99">
        <w:rPr>
          <w:rFonts w:eastAsia="Times New Roman"/>
          <w:color w:val="000000"/>
          <w:szCs w:val="24"/>
          <w:lang w:val="en-GB" w:eastAsia="en-GB"/>
        </w:rPr>
        <w:t xml:space="preserve"> </w:t>
      </w:r>
      <w:r w:rsidR="00723284">
        <w:rPr>
          <w:szCs w:val="24"/>
        </w:rPr>
        <w:t>In addition, a</w:t>
      </w:r>
      <w:r w:rsidRPr="00870E58">
        <w:rPr>
          <w:szCs w:val="24"/>
        </w:rPr>
        <w:t xml:space="preserve">greements were also reached in </w:t>
      </w:r>
      <w:r w:rsidRPr="00870E58">
        <w:rPr>
          <w:rFonts w:eastAsia="Times New Roman"/>
          <w:color w:val="000000"/>
          <w:szCs w:val="24"/>
          <w:lang w:val="en-GB" w:eastAsia="en-GB"/>
        </w:rPr>
        <w:t xml:space="preserve">975 </w:t>
      </w:r>
      <w:r w:rsidRPr="00870E58">
        <w:rPr>
          <w:szCs w:val="24"/>
        </w:rPr>
        <w:t xml:space="preserve">cases for a total tax amount of Rs </w:t>
      </w:r>
      <w:r w:rsidRPr="00870E58">
        <w:rPr>
          <w:rFonts w:eastAsia="Times New Roman"/>
          <w:color w:val="000000"/>
          <w:szCs w:val="24"/>
          <w:lang w:val="en-GB" w:eastAsia="en-GB"/>
        </w:rPr>
        <w:t xml:space="preserve">359,956,894. </w:t>
      </w:r>
    </w:p>
    <w:p w:rsidR="00CA4A50" w:rsidRDefault="00CA4A50" w:rsidP="00CA4A50">
      <w:pPr>
        <w:spacing w:after="0" w:line="240" w:lineRule="auto"/>
        <w:jc w:val="both"/>
        <w:rPr>
          <w:rFonts w:eastAsia="Times New Roman"/>
          <w:color w:val="000000"/>
          <w:szCs w:val="24"/>
          <w:lang w:val="en-GB" w:eastAsia="en-GB"/>
        </w:rPr>
      </w:pPr>
    </w:p>
    <w:p w:rsidR="00870E58" w:rsidRDefault="00870E58" w:rsidP="00DE55AE">
      <w:pPr>
        <w:spacing w:after="0" w:line="240" w:lineRule="auto"/>
        <w:jc w:val="both"/>
        <w:rPr>
          <w:rFonts w:eastAsia="Times New Roman"/>
          <w:color w:val="000000"/>
          <w:szCs w:val="24"/>
          <w:lang w:val="en-GB" w:eastAsia="en-GB"/>
        </w:rPr>
      </w:pPr>
      <w:r w:rsidRPr="00870E58">
        <w:rPr>
          <w:rFonts w:eastAsia="Times New Roman"/>
          <w:color w:val="000000"/>
          <w:szCs w:val="24"/>
          <w:lang w:val="en-GB" w:eastAsia="en-GB"/>
        </w:rPr>
        <w:t>The various enforcement actions provi</w:t>
      </w:r>
      <w:r w:rsidR="00723284">
        <w:rPr>
          <w:rFonts w:eastAsia="Times New Roman"/>
          <w:color w:val="000000"/>
          <w:szCs w:val="24"/>
          <w:lang w:val="en-GB" w:eastAsia="en-GB"/>
        </w:rPr>
        <w:t xml:space="preserve">ded under various Tax Acts </w:t>
      </w:r>
      <w:r w:rsidRPr="00870E58">
        <w:rPr>
          <w:rFonts w:eastAsia="Times New Roman"/>
          <w:color w:val="000000"/>
          <w:szCs w:val="24"/>
          <w:lang w:val="en-GB" w:eastAsia="en-GB"/>
        </w:rPr>
        <w:t>taken by the MRA during 2016-17 are listed in Tab</w:t>
      </w:r>
      <w:r w:rsidR="00CA4A50">
        <w:rPr>
          <w:rFonts w:eastAsia="Times New Roman"/>
          <w:color w:val="000000"/>
          <w:szCs w:val="24"/>
          <w:lang w:val="en-GB" w:eastAsia="en-GB"/>
        </w:rPr>
        <w:t>le 6-11</w:t>
      </w:r>
    </w:p>
    <w:p w:rsidR="00CA4A50" w:rsidRPr="00870E58" w:rsidRDefault="00CA4A50" w:rsidP="00DE55AE">
      <w:pPr>
        <w:spacing w:after="0" w:line="240" w:lineRule="auto"/>
        <w:jc w:val="both"/>
        <w:rPr>
          <w:rFonts w:eastAsia="Times New Roman"/>
          <w:color w:val="000000"/>
          <w:szCs w:val="24"/>
          <w:lang w:val="en-GB" w:eastAsia="en-GB"/>
        </w:rPr>
      </w:pPr>
    </w:p>
    <w:p w:rsidR="00870E58" w:rsidRDefault="00CA4A50" w:rsidP="00DE55AE">
      <w:pPr>
        <w:spacing w:after="0" w:line="240" w:lineRule="auto"/>
        <w:jc w:val="center"/>
        <w:rPr>
          <w:rFonts w:eastAsia="Times New Roman"/>
          <w:i/>
          <w:color w:val="000000"/>
          <w:szCs w:val="24"/>
          <w:lang w:val="en-GB" w:eastAsia="en-GB"/>
        </w:rPr>
      </w:pPr>
      <w:r>
        <w:rPr>
          <w:rFonts w:eastAsia="Times New Roman"/>
          <w:i/>
          <w:color w:val="000000"/>
          <w:szCs w:val="24"/>
          <w:lang w:val="en-GB" w:eastAsia="en-GB"/>
        </w:rPr>
        <w:t xml:space="preserve">Table </w:t>
      </w:r>
      <w:bookmarkStart w:id="11" w:name="_Hlk507250165"/>
      <w:r>
        <w:rPr>
          <w:rFonts w:eastAsia="Times New Roman"/>
          <w:i/>
          <w:color w:val="000000"/>
          <w:szCs w:val="24"/>
          <w:lang w:val="en-GB" w:eastAsia="en-GB"/>
        </w:rPr>
        <w:t>6-</w:t>
      </w:r>
      <w:proofErr w:type="gramStart"/>
      <w:r>
        <w:rPr>
          <w:rFonts w:eastAsia="Times New Roman"/>
          <w:i/>
          <w:color w:val="000000"/>
          <w:szCs w:val="24"/>
          <w:lang w:val="en-GB" w:eastAsia="en-GB"/>
        </w:rPr>
        <w:t>11</w:t>
      </w:r>
      <w:r w:rsidR="00870E58" w:rsidRPr="00870E58">
        <w:rPr>
          <w:rFonts w:eastAsia="Times New Roman"/>
          <w:i/>
          <w:color w:val="000000"/>
          <w:szCs w:val="24"/>
          <w:lang w:val="en-GB" w:eastAsia="en-GB"/>
        </w:rPr>
        <w:t xml:space="preserve">  Enforcement</w:t>
      </w:r>
      <w:proofErr w:type="gramEnd"/>
      <w:r w:rsidR="00870E58" w:rsidRPr="00870E58">
        <w:rPr>
          <w:rFonts w:eastAsia="Times New Roman"/>
          <w:i/>
          <w:color w:val="000000"/>
          <w:szCs w:val="24"/>
          <w:lang w:val="en-GB" w:eastAsia="en-GB"/>
        </w:rPr>
        <w:t xml:space="preserve"> Tools Used during 2016-17</w:t>
      </w:r>
      <w:bookmarkEnd w:id="11"/>
    </w:p>
    <w:p w:rsidR="00DE55AE" w:rsidRDefault="00DE55AE" w:rsidP="00DE55AE">
      <w:pPr>
        <w:spacing w:after="0" w:line="240" w:lineRule="auto"/>
        <w:jc w:val="center"/>
        <w:rPr>
          <w:rFonts w:eastAsia="Times New Roman"/>
          <w:i/>
          <w:color w:val="000000"/>
          <w:szCs w:val="24"/>
          <w:lang w:val="en-GB" w:eastAsia="en-GB"/>
        </w:rPr>
      </w:pPr>
    </w:p>
    <w:p w:rsidR="00DE55AE" w:rsidRPr="00870E58" w:rsidRDefault="00DE55AE" w:rsidP="00DE55AE">
      <w:pPr>
        <w:pBdr>
          <w:top w:val="single" w:sz="4" w:space="1" w:color="auto"/>
        </w:pBdr>
        <w:spacing w:after="0" w:line="240" w:lineRule="auto"/>
        <w:jc w:val="center"/>
        <w:rPr>
          <w:rFonts w:eastAsia="Times New Roman"/>
          <w:i/>
          <w:color w:val="000000"/>
          <w:szCs w:val="24"/>
          <w:lang w:val="en-GB" w:eastAsia="en-GB"/>
        </w:rPr>
      </w:pPr>
    </w:p>
    <w:tbl>
      <w:tblPr>
        <w:tblW w:w="6644" w:type="dxa"/>
        <w:jc w:val="center"/>
        <w:tblLook w:val="04A0" w:firstRow="1" w:lastRow="0" w:firstColumn="1" w:lastColumn="0" w:noHBand="0" w:noVBand="1"/>
      </w:tblPr>
      <w:tblGrid>
        <w:gridCol w:w="2959"/>
        <w:gridCol w:w="1417"/>
        <w:gridCol w:w="2268"/>
      </w:tblGrid>
      <w:tr w:rsidR="00870E58" w:rsidRPr="00870E58" w:rsidTr="00DE55AE">
        <w:trPr>
          <w:trHeight w:val="20"/>
          <w:jc w:val="center"/>
        </w:trPr>
        <w:tc>
          <w:tcPr>
            <w:tcW w:w="2959" w:type="dxa"/>
            <w:shd w:val="clear" w:color="auto" w:fill="auto"/>
            <w:noWrap/>
            <w:tcMar>
              <w:bottom w:w="142" w:type="dxa"/>
            </w:tcMar>
            <w:vAlign w:val="bottom"/>
          </w:tcPr>
          <w:p w:rsidR="00870E58" w:rsidRPr="00870E58" w:rsidRDefault="00870E58" w:rsidP="00870E58">
            <w:pPr>
              <w:spacing w:after="0" w:line="240" w:lineRule="auto"/>
              <w:rPr>
                <w:rFonts w:eastAsia="Times New Roman"/>
                <w:color w:val="000000"/>
                <w:szCs w:val="24"/>
                <w:lang w:val="en-GB" w:eastAsia="en-GB"/>
              </w:rPr>
            </w:pPr>
          </w:p>
        </w:tc>
        <w:tc>
          <w:tcPr>
            <w:tcW w:w="1417" w:type="dxa"/>
            <w:shd w:val="clear" w:color="auto" w:fill="auto"/>
            <w:noWrap/>
            <w:tcMar>
              <w:bottom w:w="142" w:type="dxa"/>
            </w:tcMar>
          </w:tcPr>
          <w:p w:rsidR="00870E58" w:rsidRPr="00870E58" w:rsidRDefault="00870E58" w:rsidP="00DE55AE">
            <w:pPr>
              <w:spacing w:after="0" w:line="240" w:lineRule="auto"/>
              <w:jc w:val="center"/>
              <w:rPr>
                <w:rFonts w:eastAsia="Times New Roman"/>
                <w:color w:val="000000"/>
                <w:szCs w:val="24"/>
                <w:lang w:val="en-GB" w:eastAsia="en-GB"/>
              </w:rPr>
            </w:pPr>
            <w:r w:rsidRPr="00870E58">
              <w:rPr>
                <w:rFonts w:eastAsia="Times New Roman"/>
                <w:b/>
                <w:bCs/>
                <w:color w:val="000000"/>
                <w:szCs w:val="24"/>
                <w:lang w:val="en-GB" w:eastAsia="en-GB"/>
              </w:rPr>
              <w:t>No</w:t>
            </w:r>
          </w:p>
        </w:tc>
        <w:tc>
          <w:tcPr>
            <w:tcW w:w="2268" w:type="dxa"/>
            <w:shd w:val="clear" w:color="auto" w:fill="auto"/>
            <w:noWrap/>
            <w:tcMar>
              <w:bottom w:w="142" w:type="dxa"/>
            </w:tcMar>
          </w:tcPr>
          <w:p w:rsidR="00DE55AE" w:rsidRDefault="00723284" w:rsidP="00DE55AE">
            <w:pPr>
              <w:spacing w:after="0" w:line="240" w:lineRule="auto"/>
              <w:jc w:val="center"/>
              <w:rPr>
                <w:rFonts w:eastAsia="Times New Roman"/>
                <w:b/>
                <w:bCs/>
                <w:color w:val="000000"/>
                <w:szCs w:val="24"/>
                <w:lang w:val="en-GB" w:eastAsia="en-GB"/>
              </w:rPr>
            </w:pPr>
            <w:r>
              <w:rPr>
                <w:rFonts w:eastAsia="Times New Roman"/>
                <w:b/>
                <w:bCs/>
                <w:color w:val="000000"/>
                <w:szCs w:val="24"/>
                <w:lang w:val="en-GB" w:eastAsia="en-GB"/>
              </w:rPr>
              <w:t xml:space="preserve">Assessed </w:t>
            </w:r>
            <w:r w:rsidR="00DE55AE">
              <w:rPr>
                <w:rFonts w:eastAsia="Times New Roman"/>
                <w:b/>
                <w:bCs/>
                <w:color w:val="000000"/>
                <w:szCs w:val="24"/>
                <w:lang w:val="en-GB" w:eastAsia="en-GB"/>
              </w:rPr>
              <w:t>Amount</w:t>
            </w:r>
          </w:p>
          <w:p w:rsidR="00870E58" w:rsidRPr="00870E58" w:rsidRDefault="00870E58" w:rsidP="00DE55AE">
            <w:pPr>
              <w:spacing w:after="0" w:line="240" w:lineRule="auto"/>
              <w:jc w:val="center"/>
              <w:rPr>
                <w:rFonts w:eastAsia="Times New Roman"/>
                <w:color w:val="000000"/>
                <w:szCs w:val="24"/>
                <w:lang w:val="en-GB" w:eastAsia="en-GB"/>
              </w:rPr>
            </w:pPr>
            <w:r w:rsidRPr="00870E58">
              <w:rPr>
                <w:rFonts w:eastAsia="Times New Roman"/>
                <w:b/>
                <w:bCs/>
                <w:color w:val="000000"/>
                <w:szCs w:val="24"/>
                <w:lang w:val="en-GB" w:eastAsia="en-GB"/>
              </w:rPr>
              <w:t>(Rs)</w:t>
            </w:r>
            <w:r w:rsidR="00DE55AE" w:rsidRPr="00870E58">
              <w:rPr>
                <w:rFonts w:eastAsia="Times New Roman"/>
                <w:color w:val="000000"/>
                <w:szCs w:val="24"/>
                <w:lang w:val="en-GB" w:eastAsia="en-GB"/>
              </w:rPr>
              <w:t xml:space="preserve"> </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Attachment Order (Salary)</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44</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1,441,994</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 xml:space="preserve">Attachment Order </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2,806</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922,896,828</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Distress Warrants</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38</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60,751,241</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Inscription</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757</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1,416,181,970</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Renewal</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200</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828,713,173</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Objection To Departure</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20</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26,566,739</w:t>
            </w:r>
          </w:p>
        </w:tc>
      </w:tr>
      <w:tr w:rsidR="00870E58" w:rsidRPr="00870E58" w:rsidTr="00DE55AE">
        <w:trPr>
          <w:trHeight w:val="20"/>
          <w:jc w:val="center"/>
        </w:trPr>
        <w:tc>
          <w:tcPr>
            <w:tcW w:w="2959" w:type="dxa"/>
            <w:shd w:val="clear" w:color="auto" w:fill="auto"/>
            <w:noWrap/>
            <w:tcMar>
              <w:bottom w:w="142" w:type="dxa"/>
            </w:tcMar>
            <w:vAlign w:val="bottom"/>
            <w:hideMark/>
          </w:tcPr>
          <w:p w:rsidR="00870E58" w:rsidRPr="00870E58" w:rsidRDefault="00870E58" w:rsidP="00870E58">
            <w:pPr>
              <w:spacing w:after="0" w:line="240" w:lineRule="auto"/>
              <w:rPr>
                <w:rFonts w:eastAsia="Times New Roman"/>
                <w:color w:val="000000"/>
                <w:szCs w:val="24"/>
                <w:lang w:val="en-GB" w:eastAsia="en-GB"/>
              </w:rPr>
            </w:pPr>
            <w:r w:rsidRPr="00870E58">
              <w:rPr>
                <w:rFonts w:eastAsia="Times New Roman"/>
                <w:color w:val="000000"/>
                <w:szCs w:val="24"/>
                <w:lang w:val="en-GB" w:eastAsia="en-GB"/>
              </w:rPr>
              <w:t>Prosecution</w:t>
            </w:r>
          </w:p>
        </w:tc>
        <w:tc>
          <w:tcPr>
            <w:tcW w:w="1417" w:type="dxa"/>
            <w:shd w:val="clear" w:color="auto" w:fill="auto"/>
            <w:noWrap/>
            <w:tcMar>
              <w:bottom w:w="142" w:type="dxa"/>
            </w:tcMar>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4</w:t>
            </w:r>
          </w:p>
        </w:tc>
        <w:tc>
          <w:tcPr>
            <w:tcW w:w="2268" w:type="dxa"/>
            <w:shd w:val="clear" w:color="auto" w:fill="auto"/>
            <w:noWrap/>
            <w:tcMar>
              <w:bottom w:w="142" w:type="dxa"/>
            </w:tcMar>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13,447,849</w:t>
            </w:r>
          </w:p>
        </w:tc>
      </w:tr>
      <w:tr w:rsidR="00870E58" w:rsidRPr="00870E58" w:rsidTr="00DE55AE">
        <w:trPr>
          <w:trHeight w:val="20"/>
          <w:jc w:val="center"/>
        </w:trPr>
        <w:tc>
          <w:tcPr>
            <w:tcW w:w="2959" w:type="dxa"/>
            <w:shd w:val="clear" w:color="auto" w:fill="auto"/>
            <w:noWrap/>
            <w:vAlign w:val="bottom"/>
            <w:hideMark/>
          </w:tcPr>
          <w:p w:rsidR="00870E58" w:rsidRPr="00870E58" w:rsidRDefault="00870E58" w:rsidP="00DE55AE">
            <w:pPr>
              <w:spacing w:after="0" w:line="240" w:lineRule="auto"/>
              <w:rPr>
                <w:rFonts w:eastAsia="Times New Roman"/>
                <w:color w:val="000000"/>
                <w:szCs w:val="24"/>
                <w:lang w:val="en-GB" w:eastAsia="en-GB"/>
              </w:rPr>
            </w:pPr>
            <w:r w:rsidRPr="00870E58">
              <w:rPr>
                <w:rFonts w:eastAsia="Times New Roman"/>
                <w:color w:val="000000"/>
                <w:szCs w:val="24"/>
                <w:lang w:val="en-GB" w:eastAsia="en-GB"/>
              </w:rPr>
              <w:t xml:space="preserve">Prior Notice </w:t>
            </w:r>
            <w:proofErr w:type="spellStart"/>
            <w:r w:rsidRPr="00870E58">
              <w:rPr>
                <w:rFonts w:eastAsia="Times New Roman"/>
                <w:color w:val="000000"/>
                <w:szCs w:val="24"/>
                <w:lang w:val="en-GB" w:eastAsia="en-GB"/>
              </w:rPr>
              <w:t>Contrainte</w:t>
            </w:r>
            <w:proofErr w:type="spellEnd"/>
          </w:p>
        </w:tc>
        <w:tc>
          <w:tcPr>
            <w:tcW w:w="1417" w:type="dxa"/>
            <w:shd w:val="clear" w:color="auto" w:fill="auto"/>
            <w:noWrap/>
            <w:vAlign w:val="bottom"/>
            <w:hideMark/>
          </w:tcPr>
          <w:p w:rsidR="00870E58" w:rsidRPr="00870E58" w:rsidRDefault="00870E58" w:rsidP="00DE55AE">
            <w:pPr>
              <w:spacing w:after="0" w:line="240" w:lineRule="auto"/>
              <w:ind w:right="381"/>
              <w:jc w:val="right"/>
              <w:rPr>
                <w:rFonts w:eastAsia="Times New Roman"/>
                <w:color w:val="000000"/>
                <w:szCs w:val="24"/>
                <w:lang w:val="en-GB" w:eastAsia="en-GB"/>
              </w:rPr>
            </w:pPr>
            <w:r w:rsidRPr="00870E58">
              <w:rPr>
                <w:rFonts w:eastAsia="Times New Roman"/>
                <w:color w:val="000000"/>
                <w:szCs w:val="24"/>
                <w:lang w:val="en-GB" w:eastAsia="en-GB"/>
              </w:rPr>
              <w:t>35</w:t>
            </w:r>
          </w:p>
        </w:tc>
        <w:tc>
          <w:tcPr>
            <w:tcW w:w="2268" w:type="dxa"/>
            <w:shd w:val="clear" w:color="auto" w:fill="auto"/>
            <w:noWrap/>
            <w:vAlign w:val="bottom"/>
            <w:hideMark/>
          </w:tcPr>
          <w:p w:rsidR="00870E58" w:rsidRPr="00870E58" w:rsidRDefault="00870E58" w:rsidP="00DE55AE">
            <w:pPr>
              <w:spacing w:after="0" w:line="240" w:lineRule="auto"/>
              <w:ind w:right="460"/>
              <w:jc w:val="right"/>
              <w:rPr>
                <w:rFonts w:eastAsia="Times New Roman"/>
                <w:color w:val="000000"/>
                <w:szCs w:val="24"/>
                <w:lang w:val="en-GB" w:eastAsia="en-GB"/>
              </w:rPr>
            </w:pPr>
            <w:r w:rsidRPr="00870E58">
              <w:rPr>
                <w:rFonts w:eastAsia="Times New Roman"/>
                <w:color w:val="000000"/>
                <w:szCs w:val="24"/>
                <w:lang w:val="en-GB" w:eastAsia="en-GB"/>
              </w:rPr>
              <w:t>143,693,210</w:t>
            </w:r>
          </w:p>
        </w:tc>
      </w:tr>
    </w:tbl>
    <w:p w:rsidR="00870E58" w:rsidRPr="00870E58" w:rsidRDefault="00870E58" w:rsidP="00DE55AE">
      <w:pPr>
        <w:pBdr>
          <w:bottom w:val="single" w:sz="4" w:space="1" w:color="auto"/>
        </w:pBdr>
        <w:autoSpaceDE w:val="0"/>
        <w:autoSpaceDN w:val="0"/>
        <w:adjustRightInd w:val="0"/>
        <w:spacing w:after="0" w:line="240" w:lineRule="auto"/>
        <w:jc w:val="both"/>
        <w:rPr>
          <w:bCs/>
          <w:i/>
          <w:iCs/>
          <w:sz w:val="20"/>
          <w:szCs w:val="20"/>
        </w:rPr>
      </w:pPr>
    </w:p>
    <w:p w:rsidR="00870E58" w:rsidRPr="00870E58" w:rsidRDefault="00870E58" w:rsidP="00870E58">
      <w:pPr>
        <w:autoSpaceDE w:val="0"/>
        <w:autoSpaceDN w:val="0"/>
        <w:adjustRightInd w:val="0"/>
        <w:spacing w:after="0" w:line="240" w:lineRule="auto"/>
        <w:ind w:firstLine="720"/>
        <w:jc w:val="both"/>
        <w:rPr>
          <w:bCs/>
          <w:i/>
          <w:iCs/>
          <w:sz w:val="20"/>
          <w:szCs w:val="20"/>
        </w:rPr>
      </w:pPr>
      <w:r w:rsidRPr="00870E58">
        <w:rPr>
          <w:bCs/>
          <w:i/>
          <w:iCs/>
          <w:sz w:val="20"/>
          <w:szCs w:val="20"/>
        </w:rPr>
        <w:t>Source: Figures Submitted by Debt Management Unit</w:t>
      </w:r>
    </w:p>
    <w:p w:rsidR="00870E58" w:rsidRPr="00870E58" w:rsidRDefault="00870E58" w:rsidP="00CA4A50">
      <w:pPr>
        <w:spacing w:after="0" w:line="240" w:lineRule="auto"/>
        <w:jc w:val="both"/>
        <w:rPr>
          <w:szCs w:val="24"/>
        </w:rPr>
      </w:pPr>
    </w:p>
    <w:p w:rsidR="00870E58" w:rsidRPr="00870E58" w:rsidRDefault="00870E58" w:rsidP="00CA4A50">
      <w:pPr>
        <w:spacing w:after="0" w:line="240" w:lineRule="auto"/>
        <w:jc w:val="both"/>
        <w:rPr>
          <w:szCs w:val="24"/>
        </w:rPr>
      </w:pPr>
      <w:r w:rsidRPr="00870E58">
        <w:rPr>
          <w:szCs w:val="24"/>
        </w:rPr>
        <w:t>The effectiveness of the above Enforcement Tools could, however, not be measured. I was informed that the current Debt Management Module did not fully cater for prompt retrieval of information in that respect and that a solution would be proposed in the new upgraded Tax Revenue Management Module of SAP system, which was expected to be implemented around June 2017.</w:t>
      </w:r>
    </w:p>
    <w:p w:rsidR="00CA4A50" w:rsidRDefault="00CA4A50" w:rsidP="00CA4A50">
      <w:pPr>
        <w:autoSpaceDE w:val="0"/>
        <w:autoSpaceDN w:val="0"/>
        <w:adjustRightInd w:val="0"/>
        <w:spacing w:after="0" w:line="240" w:lineRule="auto"/>
        <w:contextualSpacing/>
        <w:jc w:val="both"/>
        <w:rPr>
          <w:rFonts w:eastAsia="Times New Roman"/>
          <w:b/>
          <w:i/>
          <w:szCs w:val="24"/>
          <w:bdr w:val="none" w:sz="0" w:space="0" w:color="auto" w:frame="1"/>
        </w:rPr>
      </w:pPr>
    </w:p>
    <w:p w:rsidR="00870E58" w:rsidRPr="00870E58" w:rsidRDefault="00870E58" w:rsidP="00CA4A50">
      <w:pPr>
        <w:autoSpaceDE w:val="0"/>
        <w:autoSpaceDN w:val="0"/>
        <w:adjustRightInd w:val="0"/>
        <w:spacing w:after="0" w:line="240" w:lineRule="auto"/>
        <w:contextualSpacing/>
        <w:jc w:val="both"/>
        <w:rPr>
          <w:rFonts w:eastAsia="Times New Roman"/>
          <w:b/>
          <w:i/>
          <w:szCs w:val="24"/>
          <w:bdr w:val="none" w:sz="0" w:space="0" w:color="auto" w:frame="1"/>
        </w:rPr>
      </w:pPr>
      <w:r w:rsidRPr="00870E58">
        <w:rPr>
          <w:rFonts w:eastAsia="Times New Roman"/>
          <w:b/>
          <w:i/>
          <w:szCs w:val="24"/>
          <w:bdr w:val="none" w:sz="0" w:space="0" w:color="auto" w:frame="1"/>
        </w:rPr>
        <w:t>Observations</w:t>
      </w:r>
    </w:p>
    <w:p w:rsidR="00870E58" w:rsidRPr="00870E58" w:rsidRDefault="00870E58" w:rsidP="00CA4A50">
      <w:pPr>
        <w:autoSpaceDE w:val="0"/>
        <w:autoSpaceDN w:val="0"/>
        <w:adjustRightInd w:val="0"/>
        <w:spacing w:after="0" w:line="240" w:lineRule="auto"/>
        <w:contextualSpacing/>
        <w:jc w:val="both"/>
        <w:rPr>
          <w:rFonts w:eastAsia="Times New Roman"/>
          <w:szCs w:val="24"/>
          <w:bdr w:val="none" w:sz="0" w:space="0" w:color="auto" w:frame="1"/>
        </w:rPr>
      </w:pPr>
    </w:p>
    <w:p w:rsidR="00870E58" w:rsidRPr="00870E58" w:rsidRDefault="00870E58" w:rsidP="00CA4A50">
      <w:pPr>
        <w:numPr>
          <w:ilvl w:val="0"/>
          <w:numId w:val="6"/>
        </w:numPr>
        <w:autoSpaceDE w:val="0"/>
        <w:autoSpaceDN w:val="0"/>
        <w:adjustRightInd w:val="0"/>
        <w:spacing w:after="0" w:line="240" w:lineRule="auto"/>
        <w:contextualSpacing/>
        <w:jc w:val="both"/>
        <w:rPr>
          <w:rFonts w:eastAsia="Times New Roman"/>
          <w:szCs w:val="24"/>
          <w:bdr w:val="none" w:sz="0" w:space="0" w:color="auto" w:frame="1"/>
        </w:rPr>
      </w:pPr>
      <w:r w:rsidRPr="00870E58">
        <w:rPr>
          <w:rFonts w:eastAsia="Times New Roman"/>
          <w:szCs w:val="24"/>
          <w:bdr w:val="none" w:sz="0" w:space="0" w:color="auto" w:frame="1"/>
        </w:rPr>
        <w:t>As of November 2017, the Debt Management mod</w:t>
      </w:r>
      <w:r w:rsidR="00723284">
        <w:rPr>
          <w:rFonts w:eastAsia="Times New Roman"/>
          <w:szCs w:val="24"/>
          <w:bdr w:val="none" w:sz="0" w:space="0" w:color="auto" w:frame="1"/>
        </w:rPr>
        <w:t>ule has still not been improved;</w:t>
      </w:r>
    </w:p>
    <w:p w:rsidR="00870E58" w:rsidRPr="00870E58" w:rsidRDefault="00870E58" w:rsidP="00CA4A50">
      <w:pPr>
        <w:autoSpaceDE w:val="0"/>
        <w:autoSpaceDN w:val="0"/>
        <w:adjustRightInd w:val="0"/>
        <w:spacing w:after="0" w:line="240" w:lineRule="auto"/>
        <w:contextualSpacing/>
        <w:jc w:val="both"/>
        <w:rPr>
          <w:rFonts w:eastAsia="Times New Roman"/>
          <w:szCs w:val="24"/>
          <w:bdr w:val="none" w:sz="0" w:space="0" w:color="auto" w:frame="1"/>
        </w:rPr>
      </w:pPr>
    </w:p>
    <w:p w:rsidR="00870E58" w:rsidRPr="00870E58" w:rsidRDefault="00870E58" w:rsidP="00CA4A50">
      <w:pPr>
        <w:numPr>
          <w:ilvl w:val="0"/>
          <w:numId w:val="6"/>
        </w:numPr>
        <w:autoSpaceDE w:val="0"/>
        <w:autoSpaceDN w:val="0"/>
        <w:adjustRightInd w:val="0"/>
        <w:spacing w:after="0" w:line="240" w:lineRule="auto"/>
        <w:contextualSpacing/>
        <w:jc w:val="both"/>
        <w:rPr>
          <w:rFonts w:eastAsia="Times New Roman"/>
          <w:szCs w:val="24"/>
          <w:bdr w:val="none" w:sz="0" w:space="0" w:color="auto" w:frame="1"/>
        </w:rPr>
      </w:pPr>
      <w:r w:rsidRPr="00870E58">
        <w:rPr>
          <w:rFonts w:eastAsia="Times New Roman"/>
          <w:szCs w:val="24"/>
          <w:bdr w:val="none" w:sz="0" w:space="0" w:color="auto" w:frame="1"/>
        </w:rPr>
        <w:t>The database of debts could not be searched by, for example, the number of recovery actions initiated, the time taken between enforcement actions and the amount recovered following these recovery actions.</w:t>
      </w:r>
    </w:p>
    <w:p w:rsidR="00870E58" w:rsidRPr="00870E58" w:rsidRDefault="00870E58" w:rsidP="00CA4A50">
      <w:pPr>
        <w:autoSpaceDE w:val="0"/>
        <w:autoSpaceDN w:val="0"/>
        <w:adjustRightInd w:val="0"/>
        <w:spacing w:after="0" w:line="240" w:lineRule="auto"/>
        <w:jc w:val="both"/>
        <w:rPr>
          <w:b/>
          <w:bCs/>
          <w:i/>
          <w:iCs/>
          <w:szCs w:val="24"/>
        </w:rPr>
      </w:pPr>
    </w:p>
    <w:p w:rsidR="00723284" w:rsidRDefault="00723284">
      <w:pPr>
        <w:rPr>
          <w:b/>
          <w:bCs/>
          <w:i/>
          <w:iCs/>
          <w:szCs w:val="24"/>
        </w:rPr>
      </w:pPr>
      <w:r>
        <w:rPr>
          <w:b/>
          <w:bCs/>
          <w:i/>
          <w:iCs/>
          <w:szCs w:val="24"/>
        </w:rPr>
        <w:br w:type="page"/>
      </w:r>
    </w:p>
    <w:p w:rsidR="00870E58" w:rsidRPr="00870E58" w:rsidRDefault="00870E58" w:rsidP="00CA4A50">
      <w:pPr>
        <w:autoSpaceDE w:val="0"/>
        <w:autoSpaceDN w:val="0"/>
        <w:adjustRightInd w:val="0"/>
        <w:spacing w:after="0" w:line="240" w:lineRule="auto"/>
        <w:jc w:val="both"/>
        <w:rPr>
          <w:b/>
          <w:szCs w:val="24"/>
        </w:rPr>
      </w:pPr>
      <w:r w:rsidRPr="00870E58">
        <w:rPr>
          <w:b/>
          <w:bCs/>
          <w:i/>
          <w:iCs/>
          <w:szCs w:val="24"/>
        </w:rPr>
        <w:lastRenderedPageBreak/>
        <w:t>Recommendation</w:t>
      </w:r>
      <w:r w:rsidRPr="00870E58">
        <w:rPr>
          <w:b/>
          <w:szCs w:val="24"/>
        </w:rPr>
        <w:t xml:space="preserve"> </w:t>
      </w:r>
    </w:p>
    <w:p w:rsidR="00870E58" w:rsidRPr="00870E58" w:rsidRDefault="00870E58" w:rsidP="00CA4A50">
      <w:pPr>
        <w:autoSpaceDE w:val="0"/>
        <w:autoSpaceDN w:val="0"/>
        <w:adjustRightInd w:val="0"/>
        <w:spacing w:after="0" w:line="240" w:lineRule="auto"/>
        <w:jc w:val="both"/>
        <w:rPr>
          <w:szCs w:val="24"/>
        </w:rPr>
      </w:pPr>
    </w:p>
    <w:p w:rsidR="00870E58" w:rsidRDefault="00870E58" w:rsidP="00CA4A50">
      <w:pPr>
        <w:widowControl w:val="0"/>
        <w:autoSpaceDE w:val="0"/>
        <w:autoSpaceDN w:val="0"/>
        <w:adjustRightInd w:val="0"/>
        <w:spacing w:after="0" w:line="240" w:lineRule="auto"/>
        <w:jc w:val="both"/>
        <w:rPr>
          <w:szCs w:val="24"/>
        </w:rPr>
      </w:pPr>
      <w:r w:rsidRPr="00870E58">
        <w:rPr>
          <w:szCs w:val="24"/>
        </w:rPr>
        <w:t xml:space="preserve">The Debt Management module of the MRA should be upgraded to enhance monitoring and ensure prompt recovery of arrears, using the various Enforcement Tools provided for in the MRA Act. </w:t>
      </w:r>
    </w:p>
    <w:p w:rsidR="00723284" w:rsidRPr="00870E58" w:rsidRDefault="00723284" w:rsidP="00CA4A50">
      <w:pPr>
        <w:widowControl w:val="0"/>
        <w:autoSpaceDE w:val="0"/>
        <w:autoSpaceDN w:val="0"/>
        <w:adjustRightInd w:val="0"/>
        <w:spacing w:after="0" w:line="240" w:lineRule="auto"/>
        <w:jc w:val="both"/>
        <w:rPr>
          <w:szCs w:val="24"/>
        </w:rPr>
      </w:pPr>
    </w:p>
    <w:p w:rsidR="00870E58" w:rsidRPr="00870E58" w:rsidRDefault="00870E58" w:rsidP="00CA4A50">
      <w:pPr>
        <w:spacing w:after="0" w:line="240" w:lineRule="auto"/>
        <w:rPr>
          <w:b/>
          <w:i/>
          <w:szCs w:val="24"/>
          <w:lang w:val="en-GB"/>
        </w:rPr>
      </w:pPr>
      <w:r w:rsidRPr="00870E58">
        <w:rPr>
          <w:b/>
          <w:i/>
          <w:szCs w:val="24"/>
          <w:lang w:val="en-GB"/>
        </w:rPr>
        <w:t>MRA’s Reply</w:t>
      </w:r>
    </w:p>
    <w:p w:rsidR="00870E58" w:rsidRPr="00870E58" w:rsidRDefault="00870E58" w:rsidP="00CA4A50">
      <w:pPr>
        <w:widowControl w:val="0"/>
        <w:autoSpaceDE w:val="0"/>
        <w:autoSpaceDN w:val="0"/>
        <w:adjustRightInd w:val="0"/>
        <w:spacing w:after="0" w:line="240" w:lineRule="auto"/>
        <w:jc w:val="both"/>
        <w:rPr>
          <w:szCs w:val="24"/>
        </w:rPr>
      </w:pPr>
    </w:p>
    <w:p w:rsidR="00FB3F41" w:rsidRDefault="00870E58" w:rsidP="00DE55AE">
      <w:pPr>
        <w:widowControl w:val="0"/>
        <w:autoSpaceDE w:val="0"/>
        <w:autoSpaceDN w:val="0"/>
        <w:adjustRightInd w:val="0"/>
        <w:spacing w:after="0" w:line="240" w:lineRule="auto"/>
        <w:jc w:val="both"/>
        <w:rPr>
          <w:szCs w:val="24"/>
        </w:rPr>
      </w:pPr>
      <w:r w:rsidRPr="00870E58">
        <w:rPr>
          <w:szCs w:val="24"/>
        </w:rPr>
        <w:t xml:space="preserve">The SAP software has a Debt Recovery Module which needs to be </w:t>
      </w:r>
      <w:proofErr w:type="spellStart"/>
      <w:r w:rsidRPr="00870E58">
        <w:rPr>
          <w:szCs w:val="24"/>
        </w:rPr>
        <w:t>analysed</w:t>
      </w:r>
      <w:proofErr w:type="spellEnd"/>
      <w:r w:rsidRPr="00870E58">
        <w:rPr>
          <w:szCs w:val="24"/>
        </w:rPr>
        <w:t xml:space="preserve"> in depth to ascertain whether it meets MRA’s requirements. As the investment would be quite substantial, the MRA would consider the acquisition of the module after having obtained confirmation that the module addresses the shortcomings in the current mo</w:t>
      </w:r>
      <w:r w:rsidR="00723284">
        <w:rPr>
          <w:szCs w:val="24"/>
        </w:rPr>
        <w:t xml:space="preserve">dule and that it may be </w:t>
      </w:r>
      <w:proofErr w:type="spellStart"/>
      <w:r w:rsidR="00723284">
        <w:rPr>
          <w:szCs w:val="24"/>
        </w:rPr>
        <w:t>customis</w:t>
      </w:r>
      <w:r w:rsidRPr="00870E58">
        <w:rPr>
          <w:szCs w:val="24"/>
        </w:rPr>
        <w:t>ed</w:t>
      </w:r>
      <w:proofErr w:type="spellEnd"/>
      <w:r w:rsidRPr="00870E58">
        <w:rPr>
          <w:szCs w:val="24"/>
        </w:rPr>
        <w:t xml:space="preserve"> to meet MRA’s requirements.</w:t>
      </w:r>
    </w:p>
    <w:p w:rsidR="00FB3F41" w:rsidRDefault="00FB3F41">
      <w:r>
        <w:br w:type="page"/>
      </w:r>
    </w:p>
    <w:p w:rsidR="00484ABE" w:rsidRPr="00EF4D3F" w:rsidRDefault="00484ABE" w:rsidP="00484ABE">
      <w:pPr>
        <w:spacing w:after="0" w:line="240" w:lineRule="auto"/>
        <w:jc w:val="both"/>
        <w:rPr>
          <w:b/>
          <w:sz w:val="28"/>
          <w:szCs w:val="28"/>
          <w:lang w:val="en-GB"/>
        </w:rPr>
      </w:pPr>
      <w:r w:rsidRPr="00EF4D3F">
        <w:rPr>
          <w:b/>
          <w:sz w:val="28"/>
          <w:szCs w:val="28"/>
          <w:lang w:val="en-GB"/>
        </w:rPr>
        <w:lastRenderedPageBreak/>
        <w:t>Customs</w:t>
      </w:r>
    </w:p>
    <w:p w:rsidR="00484ABE" w:rsidRPr="007F3D61" w:rsidRDefault="00484ABE" w:rsidP="00484ABE">
      <w:pPr>
        <w:spacing w:after="0" w:line="240" w:lineRule="auto"/>
        <w:jc w:val="both"/>
        <w:rPr>
          <w:b/>
          <w:szCs w:val="24"/>
        </w:rPr>
      </w:pPr>
    </w:p>
    <w:p w:rsidR="00484ABE" w:rsidRPr="00CA4A50" w:rsidRDefault="00484ABE" w:rsidP="00CA4A50">
      <w:pPr>
        <w:pStyle w:val="ListParagraph"/>
        <w:numPr>
          <w:ilvl w:val="1"/>
          <w:numId w:val="32"/>
        </w:numPr>
        <w:spacing w:after="0" w:line="240" w:lineRule="auto"/>
        <w:ind w:left="720" w:hanging="720"/>
        <w:jc w:val="both"/>
        <w:rPr>
          <w:b/>
        </w:rPr>
      </w:pPr>
      <w:r w:rsidRPr="00CA4A50">
        <w:rPr>
          <w:b/>
        </w:rPr>
        <w:t xml:space="preserve">Arrears of Revenue </w:t>
      </w:r>
    </w:p>
    <w:p w:rsidR="00484ABE" w:rsidRPr="00846426" w:rsidRDefault="00484ABE" w:rsidP="00484ABE">
      <w:pPr>
        <w:pStyle w:val="p8"/>
        <w:rPr>
          <w:rFonts w:eastAsia="Calibri"/>
          <w:szCs w:val="24"/>
        </w:rPr>
      </w:pPr>
    </w:p>
    <w:p w:rsidR="00484ABE" w:rsidRPr="00846426" w:rsidRDefault="00CA4A50" w:rsidP="00484ABE">
      <w:pPr>
        <w:pStyle w:val="p8"/>
        <w:rPr>
          <w:rFonts w:eastAsia="Calibri"/>
          <w:b/>
          <w:i/>
          <w:szCs w:val="24"/>
        </w:rPr>
      </w:pPr>
      <w:r>
        <w:rPr>
          <w:rFonts w:eastAsia="Calibri"/>
          <w:b/>
          <w:i/>
          <w:szCs w:val="24"/>
        </w:rPr>
        <w:t>6.5</w:t>
      </w:r>
      <w:r w:rsidR="00484ABE">
        <w:rPr>
          <w:rFonts w:eastAsia="Calibri"/>
          <w:b/>
          <w:i/>
          <w:szCs w:val="24"/>
        </w:rPr>
        <w:t>.1</w:t>
      </w:r>
      <w:r w:rsidR="00484ABE">
        <w:rPr>
          <w:rFonts w:eastAsia="Calibri"/>
          <w:b/>
          <w:i/>
          <w:szCs w:val="24"/>
        </w:rPr>
        <w:tab/>
      </w:r>
      <w:r w:rsidR="00484ABE" w:rsidRPr="00846426">
        <w:rPr>
          <w:rFonts w:eastAsia="Calibri"/>
          <w:b/>
          <w:i/>
          <w:szCs w:val="24"/>
        </w:rPr>
        <w:t>Return of Arrears of Revenue as of 30 June 2017</w:t>
      </w:r>
    </w:p>
    <w:p w:rsidR="00484ABE" w:rsidRPr="00846426" w:rsidRDefault="00484ABE" w:rsidP="00484ABE">
      <w:pPr>
        <w:pStyle w:val="p8"/>
        <w:rPr>
          <w:rFonts w:eastAsia="Calibri"/>
          <w:szCs w:val="24"/>
        </w:rPr>
      </w:pPr>
    </w:p>
    <w:p w:rsidR="00484ABE" w:rsidRPr="00846426" w:rsidRDefault="00484ABE" w:rsidP="00484ABE">
      <w:pPr>
        <w:pStyle w:val="p8"/>
        <w:rPr>
          <w:szCs w:val="24"/>
        </w:rPr>
      </w:pPr>
      <w:r w:rsidRPr="00846426">
        <w:rPr>
          <w:szCs w:val="24"/>
        </w:rPr>
        <w:t xml:space="preserve">Arrears of revenue </w:t>
      </w:r>
      <w:r>
        <w:rPr>
          <w:szCs w:val="24"/>
        </w:rPr>
        <w:t>comprise C</w:t>
      </w:r>
      <w:r w:rsidRPr="00846426">
        <w:rPr>
          <w:szCs w:val="24"/>
        </w:rPr>
        <w:t xml:space="preserve">ustoms and </w:t>
      </w:r>
      <w:r>
        <w:rPr>
          <w:szCs w:val="24"/>
        </w:rPr>
        <w:t>E</w:t>
      </w:r>
      <w:r w:rsidRPr="00846426">
        <w:rPr>
          <w:szCs w:val="24"/>
        </w:rPr>
        <w:t xml:space="preserve">xcise </w:t>
      </w:r>
      <w:r>
        <w:rPr>
          <w:szCs w:val="24"/>
        </w:rPr>
        <w:t>D</w:t>
      </w:r>
      <w:r w:rsidRPr="00846426">
        <w:rPr>
          <w:szCs w:val="24"/>
        </w:rPr>
        <w:t xml:space="preserve">uties, </w:t>
      </w:r>
      <w:r>
        <w:rPr>
          <w:szCs w:val="24"/>
        </w:rPr>
        <w:t>T</w:t>
      </w:r>
      <w:r w:rsidRPr="00846426">
        <w:rPr>
          <w:szCs w:val="24"/>
        </w:rPr>
        <w:t xml:space="preserve">axes, </w:t>
      </w:r>
      <w:r>
        <w:rPr>
          <w:szCs w:val="24"/>
        </w:rPr>
        <w:t>P</w:t>
      </w:r>
      <w:r w:rsidRPr="00846426">
        <w:rPr>
          <w:szCs w:val="24"/>
        </w:rPr>
        <w:t>enalties</w:t>
      </w:r>
      <w:r>
        <w:rPr>
          <w:szCs w:val="24"/>
        </w:rPr>
        <w:t>,</w:t>
      </w:r>
      <w:r w:rsidRPr="00846426">
        <w:rPr>
          <w:szCs w:val="24"/>
        </w:rPr>
        <w:t xml:space="preserve"> and </w:t>
      </w:r>
      <w:r>
        <w:rPr>
          <w:szCs w:val="24"/>
        </w:rPr>
        <w:t>I</w:t>
      </w:r>
      <w:r w:rsidRPr="00846426">
        <w:rPr>
          <w:szCs w:val="24"/>
        </w:rPr>
        <w:t>nterests outstanding in respect of goods that have already been delivered</w:t>
      </w:r>
      <w:r>
        <w:rPr>
          <w:szCs w:val="24"/>
        </w:rPr>
        <w:t>,</w:t>
      </w:r>
      <w:r w:rsidRPr="00846426">
        <w:rPr>
          <w:szCs w:val="24"/>
        </w:rPr>
        <w:t xml:space="preserve"> and</w:t>
      </w:r>
      <w:r w:rsidRPr="00846426">
        <w:rPr>
          <w:rFonts w:eastAsia="Calibri"/>
          <w:szCs w:val="24"/>
          <w:lang w:val="en-US"/>
        </w:rPr>
        <w:t xml:space="preserve"> of </w:t>
      </w:r>
      <w:r>
        <w:rPr>
          <w:rFonts w:eastAsia="Calibri"/>
          <w:szCs w:val="24"/>
          <w:lang w:val="en-US"/>
        </w:rPr>
        <w:t>o</w:t>
      </w:r>
      <w:r w:rsidRPr="00846426">
        <w:rPr>
          <w:rFonts w:eastAsia="Calibri"/>
          <w:szCs w:val="24"/>
          <w:lang w:val="en-US"/>
        </w:rPr>
        <w:t>ffences detected in breach of Customs Legislations</w:t>
      </w:r>
      <w:r>
        <w:rPr>
          <w:rFonts w:eastAsia="Calibri"/>
          <w:szCs w:val="24"/>
          <w:lang w:val="en-US"/>
        </w:rPr>
        <w:t>,</w:t>
      </w:r>
      <w:r w:rsidRPr="00846426">
        <w:rPr>
          <w:rFonts w:eastAsia="Calibri"/>
          <w:szCs w:val="24"/>
          <w:lang w:val="en-US"/>
        </w:rPr>
        <w:t xml:space="preserve"> where </w:t>
      </w:r>
      <w:r w:rsidRPr="00846426">
        <w:rPr>
          <w:szCs w:val="24"/>
        </w:rPr>
        <w:t>Customs Offence Reports (CORs) have been raised.</w:t>
      </w:r>
    </w:p>
    <w:p w:rsidR="00484ABE" w:rsidRPr="00846426" w:rsidRDefault="00484ABE" w:rsidP="00484ABE">
      <w:pPr>
        <w:pStyle w:val="p8"/>
        <w:rPr>
          <w:szCs w:val="24"/>
        </w:rPr>
      </w:pPr>
    </w:p>
    <w:p w:rsidR="00484ABE" w:rsidRDefault="00484ABE" w:rsidP="0087025F">
      <w:pPr>
        <w:spacing w:after="0" w:line="240" w:lineRule="auto"/>
        <w:jc w:val="both"/>
        <w:rPr>
          <w:szCs w:val="24"/>
        </w:rPr>
      </w:pPr>
      <w:r w:rsidRPr="00846426">
        <w:rPr>
          <w:szCs w:val="24"/>
        </w:rPr>
        <w:t>As of 30 June 2017, total arrears stood at some Rs 687.</w:t>
      </w:r>
      <w:r>
        <w:rPr>
          <w:szCs w:val="24"/>
        </w:rPr>
        <w:t>9</w:t>
      </w:r>
      <w:r w:rsidRPr="00846426">
        <w:rPr>
          <w:szCs w:val="24"/>
        </w:rPr>
        <w:t xml:space="preserve"> million, of which only </w:t>
      </w:r>
      <w:r>
        <w:rPr>
          <w:szCs w:val="24"/>
        </w:rPr>
        <w:t xml:space="preserve">some </w:t>
      </w:r>
      <w:r w:rsidR="0087025F">
        <w:rPr>
          <w:szCs w:val="24"/>
        </w:rPr>
        <w:br/>
      </w:r>
      <w:r w:rsidRPr="00846426">
        <w:rPr>
          <w:szCs w:val="24"/>
        </w:rPr>
        <w:t>Rs 51</w:t>
      </w:r>
      <w:r>
        <w:rPr>
          <w:szCs w:val="24"/>
        </w:rPr>
        <w:t>.1</w:t>
      </w:r>
      <w:r w:rsidRPr="00846426">
        <w:rPr>
          <w:szCs w:val="24"/>
        </w:rPr>
        <w:t xml:space="preserve"> million (7.4 per cent) </w:t>
      </w:r>
      <w:r>
        <w:rPr>
          <w:szCs w:val="24"/>
        </w:rPr>
        <w:t>were</w:t>
      </w:r>
      <w:r w:rsidRPr="00846426">
        <w:rPr>
          <w:szCs w:val="24"/>
        </w:rPr>
        <w:t xml:space="preserve"> accounted for in the Treasury Statement of Arrears of Revenue</w:t>
      </w:r>
      <w:r w:rsidRPr="00F03181">
        <w:rPr>
          <w:szCs w:val="24"/>
        </w:rPr>
        <w:t xml:space="preserve"> </w:t>
      </w:r>
      <w:r>
        <w:rPr>
          <w:szCs w:val="24"/>
        </w:rPr>
        <w:t>and classified as collectible, while t</w:t>
      </w:r>
      <w:r w:rsidRPr="00846426">
        <w:rPr>
          <w:szCs w:val="24"/>
        </w:rPr>
        <w:t>he remaining Rs 636.8 million</w:t>
      </w:r>
      <w:r>
        <w:rPr>
          <w:szCs w:val="24"/>
        </w:rPr>
        <w:t xml:space="preserve"> were</w:t>
      </w:r>
      <w:r w:rsidRPr="00846426">
        <w:rPr>
          <w:szCs w:val="24"/>
        </w:rPr>
        <w:t xml:space="preserve"> classified as “</w:t>
      </w:r>
      <w:r w:rsidRPr="00846426">
        <w:rPr>
          <w:i/>
          <w:szCs w:val="24"/>
        </w:rPr>
        <w:t>Under Dispute</w:t>
      </w:r>
      <w:r w:rsidRPr="00846426">
        <w:rPr>
          <w:szCs w:val="24"/>
        </w:rPr>
        <w:t>”</w:t>
      </w:r>
      <w:r>
        <w:rPr>
          <w:szCs w:val="24"/>
        </w:rPr>
        <w:t xml:space="preserve"> (Rs </w:t>
      </w:r>
      <w:r w:rsidRPr="00846426">
        <w:rPr>
          <w:szCs w:val="24"/>
        </w:rPr>
        <w:t xml:space="preserve">480.1 million </w:t>
      </w:r>
      <w:r>
        <w:rPr>
          <w:szCs w:val="24"/>
        </w:rPr>
        <w:t xml:space="preserve">- </w:t>
      </w:r>
      <w:r w:rsidRPr="00846426">
        <w:rPr>
          <w:szCs w:val="24"/>
        </w:rPr>
        <w:t>69.8 per cent)</w:t>
      </w:r>
      <w:r>
        <w:rPr>
          <w:szCs w:val="24"/>
        </w:rPr>
        <w:t xml:space="preserve"> and </w:t>
      </w:r>
      <w:r w:rsidRPr="00846426">
        <w:rPr>
          <w:szCs w:val="24"/>
        </w:rPr>
        <w:t>“</w:t>
      </w:r>
      <w:r w:rsidRPr="00846426">
        <w:rPr>
          <w:i/>
          <w:szCs w:val="24"/>
        </w:rPr>
        <w:t>Pending Adjustments</w:t>
      </w:r>
      <w:r w:rsidRPr="00846426">
        <w:rPr>
          <w:szCs w:val="24"/>
        </w:rPr>
        <w:t>”</w:t>
      </w:r>
      <w:r>
        <w:rPr>
          <w:szCs w:val="24"/>
        </w:rPr>
        <w:t xml:space="preserve"> (</w:t>
      </w:r>
      <w:r w:rsidRPr="00846426">
        <w:rPr>
          <w:szCs w:val="24"/>
        </w:rPr>
        <w:t xml:space="preserve">Rs 156.7 million </w:t>
      </w:r>
      <w:r>
        <w:rPr>
          <w:szCs w:val="24"/>
        </w:rPr>
        <w:t>- 22.8 per cent)</w:t>
      </w:r>
      <w:r w:rsidRPr="00846426">
        <w:rPr>
          <w:szCs w:val="24"/>
        </w:rPr>
        <w:t xml:space="preserve">. An age analysis of </w:t>
      </w:r>
      <w:r>
        <w:rPr>
          <w:szCs w:val="24"/>
        </w:rPr>
        <w:t xml:space="preserve">the </w:t>
      </w:r>
      <w:r w:rsidRPr="00846426">
        <w:rPr>
          <w:szCs w:val="24"/>
        </w:rPr>
        <w:t>total arrear</w:t>
      </w:r>
      <w:r w:rsidR="00196B9E">
        <w:rPr>
          <w:szCs w:val="24"/>
        </w:rPr>
        <w:t>s o</w:t>
      </w:r>
      <w:r w:rsidR="00CA4A50">
        <w:rPr>
          <w:szCs w:val="24"/>
        </w:rPr>
        <w:t>f revenue is shown in Table 6-12</w:t>
      </w:r>
      <w:r w:rsidRPr="00846426">
        <w:rPr>
          <w:szCs w:val="24"/>
        </w:rPr>
        <w:t>.</w:t>
      </w:r>
    </w:p>
    <w:p w:rsidR="00484ABE" w:rsidRDefault="00484ABE" w:rsidP="0087025F">
      <w:pPr>
        <w:spacing w:after="0" w:line="240" w:lineRule="auto"/>
        <w:jc w:val="both"/>
        <w:rPr>
          <w:szCs w:val="24"/>
        </w:rPr>
      </w:pPr>
    </w:p>
    <w:p w:rsidR="00196B9E" w:rsidRDefault="00CA4A50" w:rsidP="0087025F">
      <w:pPr>
        <w:spacing w:after="0" w:line="240" w:lineRule="auto"/>
        <w:jc w:val="center"/>
        <w:rPr>
          <w:i/>
          <w:szCs w:val="24"/>
        </w:rPr>
      </w:pPr>
      <w:r>
        <w:rPr>
          <w:i/>
          <w:szCs w:val="24"/>
        </w:rPr>
        <w:t xml:space="preserve">Table </w:t>
      </w:r>
      <w:bookmarkStart w:id="12" w:name="_Hlk507250204"/>
      <w:r>
        <w:rPr>
          <w:i/>
          <w:szCs w:val="24"/>
        </w:rPr>
        <w:t>6-</w:t>
      </w:r>
      <w:proofErr w:type="gramStart"/>
      <w:r>
        <w:rPr>
          <w:i/>
          <w:szCs w:val="24"/>
        </w:rPr>
        <w:t>12</w:t>
      </w:r>
      <w:r w:rsidR="00484ABE" w:rsidRPr="00846426">
        <w:rPr>
          <w:i/>
          <w:szCs w:val="24"/>
        </w:rPr>
        <w:t xml:space="preserve">  Age</w:t>
      </w:r>
      <w:proofErr w:type="gramEnd"/>
      <w:r w:rsidR="0087025F">
        <w:rPr>
          <w:i/>
          <w:szCs w:val="24"/>
        </w:rPr>
        <w:t xml:space="preserve"> analysis of Arrears of Revenue</w:t>
      </w:r>
      <w:bookmarkEnd w:id="12"/>
    </w:p>
    <w:p w:rsidR="0087025F" w:rsidRDefault="0087025F" w:rsidP="0087025F">
      <w:pPr>
        <w:spacing w:after="0" w:line="240" w:lineRule="auto"/>
        <w:jc w:val="center"/>
        <w:rPr>
          <w:i/>
          <w:szCs w:val="24"/>
        </w:rPr>
      </w:pPr>
    </w:p>
    <w:p w:rsidR="0087025F" w:rsidRPr="00A00D25" w:rsidRDefault="0087025F" w:rsidP="0087025F">
      <w:pPr>
        <w:pBdr>
          <w:top w:val="single" w:sz="4" w:space="1" w:color="auto"/>
        </w:pBdr>
        <w:spacing w:after="0" w:line="240" w:lineRule="auto"/>
        <w:jc w:val="center"/>
        <w:rPr>
          <w:i/>
          <w:szCs w:val="24"/>
        </w:rPr>
      </w:pPr>
    </w:p>
    <w:tbl>
      <w:tblPr>
        <w:tblW w:w="7185" w:type="dxa"/>
        <w:jc w:val="center"/>
        <w:tblLook w:val="04A0" w:firstRow="1" w:lastRow="0" w:firstColumn="1" w:lastColumn="0" w:noHBand="0" w:noVBand="1"/>
      </w:tblPr>
      <w:tblGrid>
        <w:gridCol w:w="2698"/>
        <w:gridCol w:w="1363"/>
        <w:gridCol w:w="3124"/>
      </w:tblGrid>
      <w:tr w:rsidR="00484ABE" w:rsidRPr="00846426" w:rsidTr="0087025F">
        <w:trPr>
          <w:trHeight w:val="20"/>
          <w:jc w:val="center"/>
        </w:trPr>
        <w:tc>
          <w:tcPr>
            <w:tcW w:w="2698" w:type="dxa"/>
            <w:shd w:val="clear" w:color="auto" w:fill="auto"/>
            <w:noWrap/>
            <w:tcMar>
              <w:bottom w:w="142" w:type="dxa"/>
            </w:tcMar>
            <w:hideMark/>
          </w:tcPr>
          <w:p w:rsidR="00484ABE" w:rsidRPr="00846426" w:rsidRDefault="00484ABE" w:rsidP="0087025F">
            <w:pPr>
              <w:spacing w:after="0" w:line="240" w:lineRule="auto"/>
              <w:rPr>
                <w:rFonts w:eastAsia="Times New Roman"/>
                <w:b/>
                <w:bCs/>
                <w:color w:val="000000"/>
                <w:szCs w:val="24"/>
              </w:rPr>
            </w:pPr>
            <w:r w:rsidRPr="00846426">
              <w:rPr>
                <w:rFonts w:eastAsia="Times New Roman"/>
                <w:b/>
                <w:bCs/>
                <w:color w:val="000000"/>
                <w:szCs w:val="24"/>
              </w:rPr>
              <w:t>Year</w:t>
            </w:r>
            <w:r>
              <w:rPr>
                <w:rFonts w:eastAsia="Times New Roman"/>
                <w:b/>
                <w:bCs/>
                <w:color w:val="000000"/>
                <w:szCs w:val="24"/>
              </w:rPr>
              <w:t>s/Period</w:t>
            </w:r>
          </w:p>
        </w:tc>
        <w:tc>
          <w:tcPr>
            <w:tcW w:w="1363" w:type="dxa"/>
            <w:shd w:val="clear" w:color="auto" w:fill="auto"/>
            <w:noWrap/>
            <w:tcMar>
              <w:bottom w:w="142" w:type="dxa"/>
            </w:tcMar>
            <w:hideMark/>
          </w:tcPr>
          <w:p w:rsidR="00484ABE" w:rsidRPr="00846426" w:rsidRDefault="00484ABE" w:rsidP="00285264">
            <w:pPr>
              <w:spacing w:after="0" w:line="240" w:lineRule="auto"/>
              <w:jc w:val="center"/>
              <w:rPr>
                <w:rFonts w:eastAsia="Times New Roman"/>
                <w:b/>
                <w:bCs/>
                <w:color w:val="000000"/>
                <w:szCs w:val="24"/>
              </w:rPr>
            </w:pPr>
            <w:r w:rsidRPr="00846426">
              <w:rPr>
                <w:rFonts w:eastAsia="Times New Roman"/>
                <w:b/>
                <w:bCs/>
                <w:color w:val="000000"/>
                <w:szCs w:val="24"/>
              </w:rPr>
              <w:t>No. of cases</w:t>
            </w:r>
          </w:p>
        </w:tc>
        <w:tc>
          <w:tcPr>
            <w:tcW w:w="3124" w:type="dxa"/>
            <w:shd w:val="clear" w:color="auto" w:fill="auto"/>
            <w:tcMar>
              <w:bottom w:w="142" w:type="dxa"/>
            </w:tcMar>
            <w:hideMark/>
          </w:tcPr>
          <w:p w:rsidR="00484ABE" w:rsidRPr="00846426" w:rsidRDefault="00484ABE" w:rsidP="00196B9E">
            <w:pPr>
              <w:spacing w:after="0" w:line="240" w:lineRule="auto"/>
              <w:jc w:val="center"/>
              <w:rPr>
                <w:rFonts w:eastAsia="Times New Roman"/>
                <w:b/>
                <w:bCs/>
                <w:color w:val="000000"/>
                <w:szCs w:val="24"/>
              </w:rPr>
            </w:pPr>
            <w:r w:rsidRPr="00846426">
              <w:rPr>
                <w:rFonts w:eastAsia="Times New Roman"/>
                <w:b/>
                <w:bCs/>
                <w:color w:val="000000"/>
                <w:szCs w:val="24"/>
              </w:rPr>
              <w:t xml:space="preserve">Balance as </w:t>
            </w:r>
            <w:r>
              <w:rPr>
                <w:rFonts w:eastAsia="Times New Roman"/>
                <w:b/>
                <w:bCs/>
                <w:color w:val="000000"/>
                <w:szCs w:val="24"/>
              </w:rPr>
              <w:t>of</w:t>
            </w:r>
            <w:r w:rsidRPr="00846426">
              <w:rPr>
                <w:rFonts w:eastAsia="Times New Roman"/>
                <w:b/>
                <w:bCs/>
                <w:color w:val="000000"/>
                <w:szCs w:val="24"/>
              </w:rPr>
              <w:t xml:space="preserve"> 30 June 2017</w:t>
            </w:r>
          </w:p>
          <w:p w:rsidR="00484ABE" w:rsidRPr="00846426" w:rsidRDefault="00484ABE" w:rsidP="00196B9E">
            <w:pPr>
              <w:spacing w:after="0" w:line="240" w:lineRule="auto"/>
              <w:jc w:val="center"/>
              <w:rPr>
                <w:rFonts w:eastAsia="Times New Roman"/>
                <w:b/>
                <w:bCs/>
                <w:color w:val="000000"/>
                <w:szCs w:val="24"/>
              </w:rPr>
            </w:pPr>
            <w:r w:rsidRPr="00846426">
              <w:rPr>
                <w:rFonts w:eastAsia="Times New Roman"/>
                <w:b/>
                <w:bCs/>
                <w:color w:val="000000"/>
                <w:szCs w:val="24"/>
              </w:rPr>
              <w:t>Rs</w:t>
            </w:r>
          </w:p>
        </w:tc>
      </w:tr>
      <w:tr w:rsidR="00484ABE" w:rsidRPr="00846426" w:rsidTr="0087025F">
        <w:trPr>
          <w:trHeight w:val="20"/>
          <w:jc w:val="center"/>
        </w:trPr>
        <w:tc>
          <w:tcPr>
            <w:tcW w:w="2698" w:type="dxa"/>
            <w:shd w:val="clear" w:color="auto" w:fill="auto"/>
            <w:noWrap/>
            <w:tcMar>
              <w:bottom w:w="142" w:type="dxa"/>
            </w:tcMar>
            <w:vAlign w:val="bottom"/>
            <w:hideMark/>
          </w:tcPr>
          <w:p w:rsidR="00484ABE" w:rsidRPr="00846426" w:rsidRDefault="00484ABE" w:rsidP="0087025F">
            <w:pPr>
              <w:spacing w:after="0" w:line="240" w:lineRule="auto"/>
              <w:rPr>
                <w:rFonts w:eastAsia="Times New Roman"/>
                <w:color w:val="000000"/>
                <w:szCs w:val="24"/>
              </w:rPr>
            </w:pPr>
            <w:r w:rsidRPr="00846426">
              <w:rPr>
                <w:rFonts w:eastAsia="Times New Roman"/>
                <w:color w:val="000000"/>
                <w:szCs w:val="24"/>
              </w:rPr>
              <w:t>1998-200</w:t>
            </w:r>
            <w:r>
              <w:rPr>
                <w:rFonts w:eastAsia="Times New Roman"/>
                <w:color w:val="000000"/>
                <w:szCs w:val="24"/>
              </w:rPr>
              <w:t>6</w:t>
            </w:r>
          </w:p>
        </w:tc>
        <w:tc>
          <w:tcPr>
            <w:tcW w:w="1363" w:type="dxa"/>
            <w:shd w:val="clear" w:color="auto" w:fill="auto"/>
            <w:noWrap/>
            <w:tcMar>
              <w:bottom w:w="142" w:type="dxa"/>
            </w:tcMar>
            <w:vAlign w:val="bottom"/>
          </w:tcPr>
          <w:p w:rsidR="00484ABE" w:rsidRPr="00846426" w:rsidRDefault="00484ABE" w:rsidP="0087025F">
            <w:pPr>
              <w:tabs>
                <w:tab w:val="left" w:pos="611"/>
              </w:tabs>
              <w:spacing w:after="0" w:line="240" w:lineRule="auto"/>
              <w:ind w:left="-287" w:right="442"/>
              <w:jc w:val="right"/>
              <w:rPr>
                <w:rFonts w:eastAsia="Times New Roman"/>
                <w:color w:val="000000"/>
                <w:szCs w:val="24"/>
              </w:rPr>
            </w:pPr>
            <w:r>
              <w:rPr>
                <w:rFonts w:eastAsia="Times New Roman"/>
                <w:color w:val="000000"/>
                <w:szCs w:val="24"/>
              </w:rPr>
              <w:t>31</w:t>
            </w:r>
          </w:p>
        </w:tc>
        <w:tc>
          <w:tcPr>
            <w:tcW w:w="3124" w:type="dxa"/>
            <w:shd w:val="clear" w:color="auto" w:fill="auto"/>
            <w:noWrap/>
            <w:tcMar>
              <w:bottom w:w="142" w:type="dxa"/>
            </w:tcMar>
            <w:vAlign w:val="bottom"/>
          </w:tcPr>
          <w:p w:rsidR="00484ABE" w:rsidRPr="00846426" w:rsidRDefault="00484ABE" w:rsidP="0087025F">
            <w:pPr>
              <w:spacing w:after="0" w:line="240" w:lineRule="auto"/>
              <w:ind w:right="963"/>
              <w:jc w:val="right"/>
              <w:rPr>
                <w:rFonts w:eastAsia="Times New Roman"/>
                <w:color w:val="000000"/>
                <w:szCs w:val="24"/>
              </w:rPr>
            </w:pPr>
            <w:r>
              <w:rPr>
                <w:rFonts w:eastAsia="Times New Roman"/>
                <w:color w:val="000000"/>
                <w:szCs w:val="24"/>
              </w:rPr>
              <w:t>85,655,452</w:t>
            </w:r>
          </w:p>
        </w:tc>
      </w:tr>
      <w:tr w:rsidR="00484ABE" w:rsidRPr="00846426" w:rsidTr="0087025F">
        <w:trPr>
          <w:trHeight w:val="20"/>
          <w:jc w:val="center"/>
        </w:trPr>
        <w:tc>
          <w:tcPr>
            <w:tcW w:w="2698" w:type="dxa"/>
            <w:shd w:val="clear" w:color="auto" w:fill="auto"/>
            <w:noWrap/>
            <w:tcMar>
              <w:bottom w:w="142" w:type="dxa"/>
            </w:tcMar>
            <w:vAlign w:val="bottom"/>
            <w:hideMark/>
          </w:tcPr>
          <w:p w:rsidR="00484ABE" w:rsidRPr="00846426" w:rsidRDefault="00484ABE" w:rsidP="0087025F">
            <w:pPr>
              <w:spacing w:after="0" w:line="240" w:lineRule="auto"/>
              <w:rPr>
                <w:rFonts w:eastAsia="Times New Roman"/>
                <w:color w:val="000000"/>
                <w:szCs w:val="24"/>
              </w:rPr>
            </w:pPr>
            <w:r w:rsidRPr="00846426">
              <w:rPr>
                <w:rFonts w:eastAsia="Times New Roman"/>
                <w:color w:val="000000"/>
                <w:szCs w:val="24"/>
              </w:rPr>
              <w:t>2007-2009</w:t>
            </w:r>
          </w:p>
        </w:tc>
        <w:tc>
          <w:tcPr>
            <w:tcW w:w="1363" w:type="dxa"/>
            <w:shd w:val="clear" w:color="auto" w:fill="auto"/>
            <w:noWrap/>
            <w:tcMar>
              <w:bottom w:w="142" w:type="dxa"/>
            </w:tcMar>
            <w:vAlign w:val="bottom"/>
          </w:tcPr>
          <w:p w:rsidR="00484ABE" w:rsidRPr="00846426" w:rsidRDefault="00484ABE" w:rsidP="0087025F">
            <w:pPr>
              <w:tabs>
                <w:tab w:val="left" w:pos="611"/>
              </w:tabs>
              <w:spacing w:after="0" w:line="240" w:lineRule="auto"/>
              <w:ind w:left="-287" w:right="442"/>
              <w:jc w:val="right"/>
              <w:rPr>
                <w:rFonts w:eastAsia="Times New Roman"/>
                <w:color w:val="000000"/>
                <w:szCs w:val="24"/>
              </w:rPr>
            </w:pPr>
            <w:r>
              <w:rPr>
                <w:rFonts w:eastAsia="Times New Roman"/>
                <w:color w:val="000000"/>
                <w:szCs w:val="24"/>
              </w:rPr>
              <w:t>22</w:t>
            </w:r>
            <w:r w:rsidR="00040CAC">
              <w:rPr>
                <w:rFonts w:eastAsia="Times New Roman"/>
                <w:color w:val="000000"/>
                <w:szCs w:val="24"/>
              </w:rPr>
              <w:t>6</w:t>
            </w:r>
          </w:p>
        </w:tc>
        <w:tc>
          <w:tcPr>
            <w:tcW w:w="3124" w:type="dxa"/>
            <w:shd w:val="clear" w:color="auto" w:fill="auto"/>
            <w:noWrap/>
            <w:tcMar>
              <w:bottom w:w="142" w:type="dxa"/>
            </w:tcMar>
            <w:vAlign w:val="bottom"/>
          </w:tcPr>
          <w:p w:rsidR="00484ABE" w:rsidRPr="00846426" w:rsidRDefault="00484ABE" w:rsidP="0087025F">
            <w:pPr>
              <w:spacing w:after="0" w:line="240" w:lineRule="auto"/>
              <w:ind w:right="963"/>
              <w:jc w:val="right"/>
              <w:rPr>
                <w:rFonts w:eastAsia="Times New Roman"/>
                <w:color w:val="000000"/>
                <w:szCs w:val="24"/>
              </w:rPr>
            </w:pPr>
            <w:r w:rsidRPr="00846426">
              <w:rPr>
                <w:rFonts w:eastAsia="Times New Roman"/>
                <w:color w:val="000000"/>
                <w:szCs w:val="24"/>
              </w:rPr>
              <w:t>104,582,056</w:t>
            </w:r>
          </w:p>
        </w:tc>
      </w:tr>
      <w:tr w:rsidR="00484ABE" w:rsidRPr="00846426" w:rsidTr="0087025F">
        <w:trPr>
          <w:trHeight w:val="20"/>
          <w:jc w:val="center"/>
        </w:trPr>
        <w:tc>
          <w:tcPr>
            <w:tcW w:w="2698" w:type="dxa"/>
            <w:shd w:val="clear" w:color="auto" w:fill="auto"/>
            <w:noWrap/>
            <w:tcMar>
              <w:bottom w:w="142" w:type="dxa"/>
            </w:tcMar>
            <w:vAlign w:val="bottom"/>
            <w:hideMark/>
          </w:tcPr>
          <w:p w:rsidR="00484ABE" w:rsidRPr="00846426" w:rsidRDefault="00484ABE" w:rsidP="0087025F">
            <w:pPr>
              <w:spacing w:after="0" w:line="240" w:lineRule="auto"/>
              <w:rPr>
                <w:rFonts w:eastAsia="Times New Roman"/>
                <w:color w:val="000000"/>
                <w:szCs w:val="24"/>
              </w:rPr>
            </w:pPr>
            <w:r w:rsidRPr="00846426">
              <w:rPr>
                <w:rFonts w:eastAsia="Times New Roman"/>
                <w:color w:val="000000"/>
                <w:szCs w:val="24"/>
              </w:rPr>
              <w:t>2010-2012</w:t>
            </w:r>
          </w:p>
        </w:tc>
        <w:tc>
          <w:tcPr>
            <w:tcW w:w="1363" w:type="dxa"/>
            <w:shd w:val="clear" w:color="auto" w:fill="auto"/>
            <w:noWrap/>
            <w:tcMar>
              <w:bottom w:w="142" w:type="dxa"/>
            </w:tcMar>
            <w:vAlign w:val="bottom"/>
          </w:tcPr>
          <w:p w:rsidR="00484ABE" w:rsidRPr="00846426" w:rsidRDefault="00484ABE" w:rsidP="0087025F">
            <w:pPr>
              <w:tabs>
                <w:tab w:val="left" w:pos="611"/>
              </w:tabs>
              <w:spacing w:after="0" w:line="240" w:lineRule="auto"/>
              <w:ind w:left="-287" w:right="442"/>
              <w:jc w:val="right"/>
              <w:rPr>
                <w:rFonts w:eastAsia="Times New Roman"/>
                <w:color w:val="000000"/>
                <w:szCs w:val="24"/>
              </w:rPr>
            </w:pPr>
            <w:r w:rsidRPr="00846426">
              <w:rPr>
                <w:rFonts w:eastAsia="Times New Roman"/>
                <w:color w:val="000000"/>
                <w:szCs w:val="24"/>
              </w:rPr>
              <w:t>9</w:t>
            </w:r>
            <w:r>
              <w:rPr>
                <w:rFonts w:eastAsia="Times New Roman"/>
                <w:color w:val="000000"/>
                <w:szCs w:val="24"/>
              </w:rPr>
              <w:t>2</w:t>
            </w:r>
          </w:p>
        </w:tc>
        <w:tc>
          <w:tcPr>
            <w:tcW w:w="3124" w:type="dxa"/>
            <w:shd w:val="clear" w:color="auto" w:fill="auto"/>
            <w:noWrap/>
            <w:tcMar>
              <w:bottom w:w="142" w:type="dxa"/>
            </w:tcMar>
            <w:vAlign w:val="bottom"/>
          </w:tcPr>
          <w:p w:rsidR="00484ABE" w:rsidRPr="00846426" w:rsidRDefault="00484ABE" w:rsidP="0087025F">
            <w:pPr>
              <w:spacing w:after="0" w:line="240" w:lineRule="auto"/>
              <w:ind w:right="963"/>
              <w:jc w:val="right"/>
              <w:rPr>
                <w:rFonts w:eastAsia="Times New Roman"/>
                <w:color w:val="000000"/>
                <w:szCs w:val="24"/>
              </w:rPr>
            </w:pPr>
            <w:r w:rsidRPr="00846426">
              <w:rPr>
                <w:rFonts w:eastAsia="Times New Roman"/>
                <w:color w:val="000000"/>
                <w:szCs w:val="24"/>
              </w:rPr>
              <w:t>149,083,61</w:t>
            </w:r>
            <w:r>
              <w:rPr>
                <w:rFonts w:eastAsia="Times New Roman"/>
                <w:color w:val="000000"/>
                <w:szCs w:val="24"/>
              </w:rPr>
              <w:t>7</w:t>
            </w:r>
          </w:p>
        </w:tc>
      </w:tr>
      <w:tr w:rsidR="00484ABE" w:rsidRPr="00846426" w:rsidTr="0087025F">
        <w:trPr>
          <w:trHeight w:val="20"/>
          <w:jc w:val="center"/>
        </w:trPr>
        <w:tc>
          <w:tcPr>
            <w:tcW w:w="2698" w:type="dxa"/>
            <w:shd w:val="clear" w:color="auto" w:fill="auto"/>
            <w:noWrap/>
            <w:tcMar>
              <w:bottom w:w="142" w:type="dxa"/>
            </w:tcMar>
            <w:vAlign w:val="bottom"/>
            <w:hideMark/>
          </w:tcPr>
          <w:p w:rsidR="00484ABE" w:rsidRPr="00846426" w:rsidRDefault="00484ABE" w:rsidP="0087025F">
            <w:pPr>
              <w:spacing w:after="0" w:line="240" w:lineRule="auto"/>
              <w:rPr>
                <w:rFonts w:eastAsia="Times New Roman"/>
                <w:color w:val="000000"/>
                <w:szCs w:val="24"/>
              </w:rPr>
            </w:pPr>
            <w:r w:rsidRPr="00846426">
              <w:rPr>
                <w:rFonts w:eastAsia="Times New Roman"/>
                <w:color w:val="000000"/>
                <w:szCs w:val="24"/>
              </w:rPr>
              <w:t>2013-2015</w:t>
            </w:r>
          </w:p>
        </w:tc>
        <w:tc>
          <w:tcPr>
            <w:tcW w:w="1363" w:type="dxa"/>
            <w:shd w:val="clear" w:color="auto" w:fill="auto"/>
            <w:noWrap/>
            <w:tcMar>
              <w:bottom w:w="142" w:type="dxa"/>
            </w:tcMar>
            <w:vAlign w:val="bottom"/>
          </w:tcPr>
          <w:p w:rsidR="00484ABE" w:rsidRPr="00846426" w:rsidRDefault="00484ABE" w:rsidP="0087025F">
            <w:pPr>
              <w:tabs>
                <w:tab w:val="left" w:pos="611"/>
              </w:tabs>
              <w:spacing w:after="0" w:line="240" w:lineRule="auto"/>
              <w:ind w:left="-287" w:right="442"/>
              <w:jc w:val="right"/>
              <w:rPr>
                <w:rFonts w:eastAsia="Times New Roman"/>
                <w:color w:val="000000"/>
                <w:szCs w:val="24"/>
              </w:rPr>
            </w:pPr>
            <w:r w:rsidRPr="00846426">
              <w:rPr>
                <w:rFonts w:eastAsia="Times New Roman"/>
                <w:color w:val="000000"/>
                <w:szCs w:val="24"/>
              </w:rPr>
              <w:t>1</w:t>
            </w:r>
            <w:r>
              <w:rPr>
                <w:rFonts w:eastAsia="Times New Roman"/>
                <w:color w:val="000000"/>
                <w:szCs w:val="24"/>
              </w:rPr>
              <w:t>64</w:t>
            </w:r>
          </w:p>
        </w:tc>
        <w:tc>
          <w:tcPr>
            <w:tcW w:w="3124" w:type="dxa"/>
            <w:shd w:val="clear" w:color="auto" w:fill="auto"/>
            <w:noWrap/>
            <w:tcMar>
              <w:bottom w:w="142" w:type="dxa"/>
            </w:tcMar>
            <w:vAlign w:val="bottom"/>
          </w:tcPr>
          <w:p w:rsidR="00484ABE" w:rsidRPr="00846426" w:rsidRDefault="00484ABE" w:rsidP="0087025F">
            <w:pPr>
              <w:spacing w:after="0" w:line="240" w:lineRule="auto"/>
              <w:ind w:right="963"/>
              <w:jc w:val="right"/>
              <w:rPr>
                <w:rFonts w:eastAsia="Times New Roman"/>
                <w:color w:val="000000"/>
                <w:szCs w:val="24"/>
              </w:rPr>
            </w:pPr>
            <w:r w:rsidRPr="00846426">
              <w:rPr>
                <w:rFonts w:eastAsia="Times New Roman"/>
                <w:color w:val="000000"/>
                <w:szCs w:val="24"/>
              </w:rPr>
              <w:t>320,0</w:t>
            </w:r>
            <w:r>
              <w:rPr>
                <w:rFonts w:eastAsia="Times New Roman"/>
                <w:color w:val="000000"/>
                <w:szCs w:val="24"/>
              </w:rPr>
              <w:t>34</w:t>
            </w:r>
            <w:r w:rsidRPr="00846426">
              <w:rPr>
                <w:rFonts w:eastAsia="Times New Roman"/>
                <w:color w:val="000000"/>
                <w:szCs w:val="24"/>
              </w:rPr>
              <w:t>,27</w:t>
            </w:r>
            <w:r>
              <w:rPr>
                <w:rFonts w:eastAsia="Times New Roman"/>
                <w:color w:val="000000"/>
                <w:szCs w:val="24"/>
              </w:rPr>
              <w:t>8</w:t>
            </w:r>
          </w:p>
        </w:tc>
      </w:tr>
      <w:tr w:rsidR="00484ABE" w:rsidRPr="00846426" w:rsidTr="0087025F">
        <w:trPr>
          <w:trHeight w:val="20"/>
          <w:jc w:val="center"/>
        </w:trPr>
        <w:tc>
          <w:tcPr>
            <w:tcW w:w="2698" w:type="dxa"/>
            <w:shd w:val="clear" w:color="auto" w:fill="auto"/>
            <w:noWrap/>
            <w:tcMar>
              <w:bottom w:w="142" w:type="dxa"/>
            </w:tcMar>
            <w:vAlign w:val="bottom"/>
          </w:tcPr>
          <w:p w:rsidR="00484ABE" w:rsidRPr="00846426" w:rsidRDefault="00484ABE" w:rsidP="0087025F">
            <w:pPr>
              <w:spacing w:after="0" w:line="240" w:lineRule="auto"/>
              <w:rPr>
                <w:rFonts w:eastAsia="Times New Roman"/>
                <w:color w:val="000000"/>
                <w:szCs w:val="24"/>
              </w:rPr>
            </w:pPr>
            <w:r>
              <w:rPr>
                <w:rFonts w:eastAsia="Times New Roman"/>
                <w:color w:val="000000"/>
                <w:szCs w:val="24"/>
              </w:rPr>
              <w:t xml:space="preserve">January </w:t>
            </w:r>
            <w:r w:rsidRPr="00846426">
              <w:rPr>
                <w:rFonts w:eastAsia="Times New Roman"/>
                <w:color w:val="000000"/>
                <w:szCs w:val="24"/>
              </w:rPr>
              <w:t>2016-June 2017</w:t>
            </w:r>
          </w:p>
        </w:tc>
        <w:tc>
          <w:tcPr>
            <w:tcW w:w="1363" w:type="dxa"/>
            <w:shd w:val="clear" w:color="auto" w:fill="auto"/>
            <w:noWrap/>
            <w:tcMar>
              <w:bottom w:w="142" w:type="dxa"/>
            </w:tcMar>
            <w:vAlign w:val="bottom"/>
          </w:tcPr>
          <w:p w:rsidR="00484ABE" w:rsidRPr="00846426" w:rsidRDefault="00484ABE" w:rsidP="0087025F">
            <w:pPr>
              <w:tabs>
                <w:tab w:val="left" w:pos="611"/>
              </w:tabs>
              <w:spacing w:after="0" w:line="240" w:lineRule="auto"/>
              <w:ind w:left="-287" w:right="442"/>
              <w:jc w:val="right"/>
              <w:rPr>
                <w:rFonts w:eastAsia="Times New Roman"/>
                <w:color w:val="000000"/>
                <w:szCs w:val="24"/>
              </w:rPr>
            </w:pPr>
            <w:r w:rsidRPr="00846426">
              <w:rPr>
                <w:rFonts w:eastAsia="Times New Roman"/>
                <w:color w:val="000000"/>
                <w:szCs w:val="24"/>
              </w:rPr>
              <w:t>1</w:t>
            </w:r>
            <w:r>
              <w:rPr>
                <w:rFonts w:eastAsia="Times New Roman"/>
                <w:color w:val="000000"/>
                <w:szCs w:val="24"/>
              </w:rPr>
              <w:t>77</w:t>
            </w:r>
          </w:p>
        </w:tc>
        <w:tc>
          <w:tcPr>
            <w:tcW w:w="3124" w:type="dxa"/>
            <w:shd w:val="clear" w:color="auto" w:fill="auto"/>
            <w:noWrap/>
            <w:tcMar>
              <w:bottom w:w="142" w:type="dxa"/>
            </w:tcMar>
            <w:vAlign w:val="bottom"/>
          </w:tcPr>
          <w:p w:rsidR="00484ABE" w:rsidRPr="00846426" w:rsidRDefault="00484ABE" w:rsidP="0087025F">
            <w:pPr>
              <w:spacing w:after="0" w:line="240" w:lineRule="auto"/>
              <w:ind w:right="963"/>
              <w:jc w:val="right"/>
              <w:rPr>
                <w:rFonts w:eastAsia="Times New Roman"/>
                <w:color w:val="000000"/>
                <w:szCs w:val="24"/>
              </w:rPr>
            </w:pPr>
            <w:r w:rsidRPr="00846426">
              <w:rPr>
                <w:rFonts w:eastAsia="Times New Roman"/>
                <w:color w:val="000000"/>
                <w:szCs w:val="24"/>
              </w:rPr>
              <w:t>28,51</w:t>
            </w:r>
            <w:r>
              <w:rPr>
                <w:rFonts w:eastAsia="Times New Roman"/>
                <w:color w:val="000000"/>
                <w:szCs w:val="24"/>
              </w:rPr>
              <w:t>3</w:t>
            </w:r>
            <w:r w:rsidRPr="00846426">
              <w:rPr>
                <w:rFonts w:eastAsia="Times New Roman"/>
                <w:color w:val="000000"/>
                <w:szCs w:val="24"/>
              </w:rPr>
              <w:t>,591</w:t>
            </w:r>
          </w:p>
        </w:tc>
      </w:tr>
      <w:tr w:rsidR="00484ABE" w:rsidRPr="00846426" w:rsidTr="0087025F">
        <w:trPr>
          <w:trHeight w:val="360"/>
          <w:jc w:val="center"/>
        </w:trPr>
        <w:tc>
          <w:tcPr>
            <w:tcW w:w="2698" w:type="dxa"/>
            <w:shd w:val="clear" w:color="auto" w:fill="auto"/>
            <w:noWrap/>
            <w:vAlign w:val="bottom"/>
          </w:tcPr>
          <w:p w:rsidR="00484ABE" w:rsidRPr="00846426" w:rsidRDefault="00484ABE" w:rsidP="0087025F">
            <w:pPr>
              <w:spacing w:after="0" w:line="240" w:lineRule="auto"/>
              <w:rPr>
                <w:rFonts w:eastAsia="Times New Roman"/>
                <w:b/>
                <w:bCs/>
                <w:color w:val="000000"/>
                <w:szCs w:val="24"/>
              </w:rPr>
            </w:pPr>
            <w:r w:rsidRPr="00846426">
              <w:rPr>
                <w:rFonts w:eastAsia="Times New Roman"/>
                <w:b/>
                <w:bCs/>
                <w:color w:val="000000"/>
                <w:szCs w:val="24"/>
              </w:rPr>
              <w:t>Total</w:t>
            </w:r>
          </w:p>
        </w:tc>
        <w:tc>
          <w:tcPr>
            <w:tcW w:w="1363" w:type="dxa"/>
            <w:shd w:val="clear" w:color="auto" w:fill="auto"/>
            <w:noWrap/>
            <w:vAlign w:val="bottom"/>
          </w:tcPr>
          <w:p w:rsidR="00484ABE" w:rsidRPr="00846426" w:rsidRDefault="00484ABE" w:rsidP="0087025F">
            <w:pPr>
              <w:tabs>
                <w:tab w:val="left" w:pos="611"/>
              </w:tabs>
              <w:spacing w:after="0" w:line="240" w:lineRule="auto"/>
              <w:ind w:left="-287" w:right="442"/>
              <w:jc w:val="right"/>
              <w:rPr>
                <w:rFonts w:eastAsia="Times New Roman"/>
                <w:b/>
                <w:bCs/>
                <w:color w:val="000000"/>
                <w:szCs w:val="24"/>
              </w:rPr>
            </w:pPr>
            <w:r>
              <w:rPr>
                <w:rFonts w:eastAsia="Times New Roman"/>
                <w:b/>
                <w:bCs/>
                <w:color w:val="000000"/>
                <w:szCs w:val="24"/>
              </w:rPr>
              <w:t>69</w:t>
            </w:r>
            <w:r w:rsidR="00040CAC">
              <w:rPr>
                <w:rFonts w:eastAsia="Times New Roman"/>
                <w:b/>
                <w:bCs/>
                <w:color w:val="000000"/>
                <w:szCs w:val="24"/>
              </w:rPr>
              <w:t>0</w:t>
            </w:r>
          </w:p>
        </w:tc>
        <w:tc>
          <w:tcPr>
            <w:tcW w:w="3124" w:type="dxa"/>
            <w:shd w:val="clear" w:color="auto" w:fill="auto"/>
            <w:noWrap/>
            <w:vAlign w:val="bottom"/>
          </w:tcPr>
          <w:p w:rsidR="00484ABE" w:rsidRPr="00846426" w:rsidRDefault="00484ABE" w:rsidP="0087025F">
            <w:pPr>
              <w:spacing w:after="0" w:line="240" w:lineRule="auto"/>
              <w:ind w:right="963"/>
              <w:jc w:val="right"/>
              <w:rPr>
                <w:rFonts w:eastAsia="Times New Roman"/>
                <w:b/>
                <w:bCs/>
                <w:color w:val="000000"/>
                <w:szCs w:val="24"/>
              </w:rPr>
            </w:pPr>
            <w:r w:rsidRPr="00846426">
              <w:rPr>
                <w:rFonts w:eastAsia="Times New Roman"/>
                <w:b/>
                <w:bCs/>
                <w:color w:val="000000"/>
                <w:szCs w:val="24"/>
              </w:rPr>
              <w:t>687,868,99</w:t>
            </w:r>
            <w:r>
              <w:rPr>
                <w:rFonts w:eastAsia="Times New Roman"/>
                <w:b/>
                <w:bCs/>
                <w:color w:val="000000"/>
                <w:szCs w:val="24"/>
              </w:rPr>
              <w:t>4</w:t>
            </w:r>
          </w:p>
        </w:tc>
      </w:tr>
    </w:tbl>
    <w:p w:rsidR="0087025F" w:rsidRDefault="0087025F" w:rsidP="0087025F">
      <w:pPr>
        <w:pBdr>
          <w:bottom w:val="single" w:sz="4" w:space="1" w:color="auto"/>
        </w:pBdr>
        <w:spacing w:after="0" w:line="240" w:lineRule="auto"/>
        <w:jc w:val="both"/>
        <w:rPr>
          <w:i/>
          <w:szCs w:val="24"/>
        </w:rPr>
      </w:pPr>
    </w:p>
    <w:p w:rsidR="0087025F" w:rsidRDefault="0087025F" w:rsidP="00484ABE">
      <w:pPr>
        <w:spacing w:after="0" w:line="240" w:lineRule="auto"/>
        <w:jc w:val="both"/>
        <w:rPr>
          <w:i/>
          <w:szCs w:val="24"/>
        </w:rPr>
      </w:pPr>
    </w:p>
    <w:p w:rsidR="00484ABE" w:rsidRPr="00125AF3" w:rsidRDefault="00484ABE" w:rsidP="00484ABE">
      <w:pPr>
        <w:spacing w:after="0" w:line="240" w:lineRule="auto"/>
        <w:jc w:val="both"/>
        <w:rPr>
          <w:i/>
          <w:szCs w:val="24"/>
        </w:rPr>
      </w:pPr>
      <w:r w:rsidRPr="00125AF3">
        <w:rPr>
          <w:i/>
          <w:szCs w:val="24"/>
        </w:rPr>
        <w:t xml:space="preserve">Long Outstanding Debts </w:t>
      </w:r>
    </w:p>
    <w:p w:rsidR="00484ABE" w:rsidRPr="00846426" w:rsidRDefault="00484ABE" w:rsidP="00484ABE">
      <w:pPr>
        <w:spacing w:after="0" w:line="240" w:lineRule="auto"/>
        <w:jc w:val="both"/>
        <w:rPr>
          <w:szCs w:val="24"/>
        </w:rPr>
      </w:pPr>
    </w:p>
    <w:p w:rsidR="0087025F" w:rsidRDefault="00484ABE" w:rsidP="00B628CB">
      <w:pPr>
        <w:pStyle w:val="ListParagraph"/>
        <w:numPr>
          <w:ilvl w:val="0"/>
          <w:numId w:val="8"/>
        </w:numPr>
        <w:spacing w:after="0" w:line="240" w:lineRule="auto"/>
        <w:ind w:left="360"/>
        <w:jc w:val="both"/>
      </w:pPr>
      <w:r>
        <w:t>An analysis of the</w:t>
      </w:r>
      <w:r w:rsidRPr="00445B15">
        <w:t xml:space="preserve"> </w:t>
      </w:r>
      <w:r>
        <w:t xml:space="preserve">total </w:t>
      </w:r>
      <w:r w:rsidRPr="00846426">
        <w:t>arrears</w:t>
      </w:r>
      <w:r>
        <w:t xml:space="preserve"> of revenue</w:t>
      </w:r>
      <w:r w:rsidRPr="00846426">
        <w:t xml:space="preserve"> figure of Rs 687.</w:t>
      </w:r>
      <w:r>
        <w:t>9 million</w:t>
      </w:r>
      <w:r w:rsidRPr="00846426">
        <w:t xml:space="preserve"> </w:t>
      </w:r>
      <w:r>
        <w:t xml:space="preserve">revealed that </w:t>
      </w:r>
      <w:r w:rsidR="006D14DB">
        <w:br/>
      </w:r>
      <w:r w:rsidRPr="00846426">
        <w:t xml:space="preserve">Rs </w:t>
      </w:r>
      <w:r>
        <w:t>210.4</w:t>
      </w:r>
      <w:r w:rsidRPr="00846426">
        <w:t xml:space="preserve"> million </w:t>
      </w:r>
      <w:r w:rsidR="00040CAC">
        <w:t>(30</w:t>
      </w:r>
      <w:r w:rsidR="004A710B">
        <w:t>.5</w:t>
      </w:r>
      <w:r w:rsidR="00040CAC">
        <w:t xml:space="preserve"> per cent), representing 266</w:t>
      </w:r>
      <w:r w:rsidRPr="000E528C">
        <w:t xml:space="preserve"> cases, were long outstanding from seven to 19 years, as </w:t>
      </w:r>
      <w:r w:rsidR="00984105">
        <w:t>shown in Table 6-13</w:t>
      </w:r>
      <w:r w:rsidRPr="00846426">
        <w:t xml:space="preserve">. </w:t>
      </w:r>
      <w:r w:rsidRPr="00B970FB">
        <w:t xml:space="preserve">Had all avenues been </w:t>
      </w:r>
      <w:r>
        <w:t>explored</w:t>
      </w:r>
      <w:r w:rsidRPr="00B970FB">
        <w:t xml:space="preserve"> on a timely basis for the recovery of the arrears, these would not have remained outstanding for such long period</w:t>
      </w:r>
      <w:r>
        <w:t>.</w:t>
      </w:r>
    </w:p>
    <w:p w:rsidR="0087025F" w:rsidRDefault="0087025F">
      <w:r>
        <w:br w:type="page"/>
      </w:r>
    </w:p>
    <w:p w:rsidR="00484ABE" w:rsidRDefault="009B3218" w:rsidP="0087025F">
      <w:pPr>
        <w:pStyle w:val="ListParagraph"/>
        <w:spacing w:after="0" w:line="240" w:lineRule="auto"/>
        <w:ind w:left="0"/>
        <w:jc w:val="center"/>
        <w:rPr>
          <w:i/>
        </w:rPr>
      </w:pPr>
      <w:r>
        <w:rPr>
          <w:i/>
        </w:rPr>
        <w:lastRenderedPageBreak/>
        <w:t xml:space="preserve">Table </w:t>
      </w:r>
      <w:bookmarkStart w:id="13" w:name="_Hlk507250260"/>
      <w:r>
        <w:rPr>
          <w:i/>
        </w:rPr>
        <w:t>6-</w:t>
      </w:r>
      <w:proofErr w:type="gramStart"/>
      <w:r>
        <w:rPr>
          <w:i/>
        </w:rPr>
        <w:t>1</w:t>
      </w:r>
      <w:r w:rsidR="00CA4A50">
        <w:rPr>
          <w:i/>
        </w:rPr>
        <w:t>3</w:t>
      </w:r>
      <w:r w:rsidR="00D67A2B">
        <w:rPr>
          <w:i/>
        </w:rPr>
        <w:t xml:space="preserve"> </w:t>
      </w:r>
      <w:r w:rsidR="00484ABE" w:rsidRPr="000E528C">
        <w:rPr>
          <w:i/>
        </w:rPr>
        <w:t xml:space="preserve"> Long</w:t>
      </w:r>
      <w:proofErr w:type="gramEnd"/>
      <w:r w:rsidR="00484ABE" w:rsidRPr="000E528C">
        <w:rPr>
          <w:i/>
        </w:rPr>
        <w:t xml:space="preserve"> Outstanding Debts</w:t>
      </w:r>
      <w:bookmarkEnd w:id="13"/>
    </w:p>
    <w:p w:rsidR="0087025F" w:rsidRDefault="0087025F" w:rsidP="0087025F">
      <w:pPr>
        <w:pStyle w:val="ListParagraph"/>
        <w:spacing w:after="0" w:line="240" w:lineRule="auto"/>
        <w:ind w:left="0"/>
        <w:jc w:val="center"/>
        <w:rPr>
          <w:i/>
        </w:rPr>
      </w:pPr>
    </w:p>
    <w:p w:rsidR="0087025F" w:rsidRDefault="0087025F" w:rsidP="0087025F">
      <w:pPr>
        <w:pStyle w:val="ListParagraph"/>
        <w:pBdr>
          <w:top w:val="single" w:sz="4" w:space="1" w:color="auto"/>
        </w:pBdr>
        <w:spacing w:after="0" w:line="240" w:lineRule="auto"/>
        <w:ind w:left="0"/>
        <w:jc w:val="center"/>
        <w:rPr>
          <w: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173"/>
        <w:gridCol w:w="2070"/>
        <w:gridCol w:w="2008"/>
      </w:tblGrid>
      <w:tr w:rsidR="00484ABE" w:rsidRPr="00846426" w:rsidTr="0087025F">
        <w:trPr>
          <w:trHeight w:val="20"/>
          <w:jc w:val="center"/>
        </w:trPr>
        <w:tc>
          <w:tcPr>
            <w:tcW w:w="1618" w:type="dxa"/>
            <w:tcMar>
              <w:bottom w:w="142" w:type="dxa"/>
            </w:tcMar>
          </w:tcPr>
          <w:p w:rsidR="00484ABE" w:rsidRPr="00846426" w:rsidRDefault="00484ABE" w:rsidP="00DE55AE">
            <w:pPr>
              <w:rPr>
                <w:b/>
                <w:szCs w:val="24"/>
              </w:rPr>
            </w:pPr>
            <w:r w:rsidRPr="00846426">
              <w:rPr>
                <w:b/>
                <w:szCs w:val="24"/>
              </w:rPr>
              <w:t>Year COR</w:t>
            </w:r>
          </w:p>
          <w:p w:rsidR="00484ABE" w:rsidRPr="00846426" w:rsidRDefault="00484ABE" w:rsidP="00DE55AE">
            <w:pPr>
              <w:rPr>
                <w:b/>
                <w:szCs w:val="24"/>
              </w:rPr>
            </w:pPr>
            <w:r w:rsidRPr="00846426">
              <w:rPr>
                <w:b/>
                <w:szCs w:val="24"/>
              </w:rPr>
              <w:t>Raised</w:t>
            </w:r>
          </w:p>
        </w:tc>
        <w:tc>
          <w:tcPr>
            <w:tcW w:w="1173" w:type="dxa"/>
            <w:tcMar>
              <w:bottom w:w="142" w:type="dxa"/>
            </w:tcMar>
          </w:tcPr>
          <w:p w:rsidR="00484ABE" w:rsidRPr="00846426" w:rsidRDefault="00484ABE" w:rsidP="00285264">
            <w:pPr>
              <w:jc w:val="center"/>
              <w:rPr>
                <w:b/>
                <w:szCs w:val="24"/>
              </w:rPr>
            </w:pPr>
            <w:r w:rsidRPr="00846426">
              <w:rPr>
                <w:b/>
                <w:szCs w:val="24"/>
              </w:rPr>
              <w:t>No</w:t>
            </w:r>
            <w:r w:rsidR="00951F36">
              <w:rPr>
                <w:b/>
                <w:szCs w:val="24"/>
              </w:rPr>
              <w:t>.</w:t>
            </w:r>
            <w:r w:rsidRPr="00846426">
              <w:rPr>
                <w:b/>
                <w:szCs w:val="24"/>
              </w:rPr>
              <w:t xml:space="preserve"> of</w:t>
            </w:r>
          </w:p>
          <w:p w:rsidR="00484ABE" w:rsidRPr="00846426" w:rsidRDefault="009B3218" w:rsidP="00285264">
            <w:pPr>
              <w:jc w:val="center"/>
              <w:rPr>
                <w:b/>
                <w:szCs w:val="24"/>
              </w:rPr>
            </w:pPr>
            <w:r w:rsidRPr="00846426">
              <w:rPr>
                <w:b/>
                <w:szCs w:val="24"/>
              </w:rPr>
              <w:t>C</w:t>
            </w:r>
            <w:r w:rsidR="00484ABE" w:rsidRPr="00846426">
              <w:rPr>
                <w:b/>
                <w:szCs w:val="24"/>
              </w:rPr>
              <w:t>ases</w:t>
            </w:r>
          </w:p>
        </w:tc>
        <w:tc>
          <w:tcPr>
            <w:tcW w:w="2070" w:type="dxa"/>
            <w:tcMar>
              <w:bottom w:w="142" w:type="dxa"/>
            </w:tcMar>
          </w:tcPr>
          <w:p w:rsidR="00484ABE" w:rsidRPr="00846426" w:rsidRDefault="00484ABE" w:rsidP="00285264">
            <w:pPr>
              <w:jc w:val="center"/>
              <w:rPr>
                <w:b/>
                <w:szCs w:val="24"/>
              </w:rPr>
            </w:pPr>
            <w:r w:rsidRPr="00846426">
              <w:rPr>
                <w:b/>
                <w:szCs w:val="24"/>
              </w:rPr>
              <w:t>Balance as</w:t>
            </w:r>
          </w:p>
          <w:p w:rsidR="00484ABE" w:rsidRPr="00846426" w:rsidRDefault="00484ABE" w:rsidP="00285264">
            <w:pPr>
              <w:jc w:val="center"/>
              <w:rPr>
                <w:b/>
                <w:szCs w:val="24"/>
              </w:rPr>
            </w:pPr>
            <w:r w:rsidRPr="00846426">
              <w:rPr>
                <w:b/>
                <w:szCs w:val="24"/>
              </w:rPr>
              <w:t>of 30 June 2017</w:t>
            </w:r>
          </w:p>
          <w:p w:rsidR="00484ABE" w:rsidRPr="00846426" w:rsidRDefault="00484ABE" w:rsidP="00285264">
            <w:pPr>
              <w:jc w:val="center"/>
              <w:rPr>
                <w:b/>
                <w:szCs w:val="24"/>
              </w:rPr>
            </w:pPr>
            <w:r w:rsidRPr="00846426">
              <w:rPr>
                <w:b/>
                <w:szCs w:val="24"/>
              </w:rPr>
              <w:t>Rs</w:t>
            </w:r>
          </w:p>
        </w:tc>
        <w:tc>
          <w:tcPr>
            <w:tcW w:w="2008" w:type="dxa"/>
            <w:tcMar>
              <w:bottom w:w="142" w:type="dxa"/>
            </w:tcMar>
          </w:tcPr>
          <w:p w:rsidR="00484ABE" w:rsidRPr="00846426" w:rsidRDefault="00484ABE" w:rsidP="00285264">
            <w:pPr>
              <w:jc w:val="center"/>
              <w:rPr>
                <w:b/>
                <w:szCs w:val="24"/>
              </w:rPr>
            </w:pPr>
            <w:r w:rsidRPr="00846426">
              <w:rPr>
                <w:b/>
                <w:szCs w:val="24"/>
              </w:rPr>
              <w:t>Number of</w:t>
            </w:r>
          </w:p>
          <w:p w:rsidR="00484ABE" w:rsidRPr="00846426" w:rsidRDefault="00780A3A" w:rsidP="00285264">
            <w:pPr>
              <w:jc w:val="center"/>
              <w:rPr>
                <w:b/>
                <w:szCs w:val="24"/>
              </w:rPr>
            </w:pPr>
            <w:r>
              <w:rPr>
                <w:b/>
                <w:szCs w:val="24"/>
              </w:rPr>
              <w:t>Years</w:t>
            </w:r>
          </w:p>
          <w:p w:rsidR="00484ABE" w:rsidRPr="00846426" w:rsidRDefault="00484ABE" w:rsidP="00285264">
            <w:pPr>
              <w:jc w:val="center"/>
              <w:rPr>
                <w:b/>
                <w:szCs w:val="24"/>
              </w:rPr>
            </w:pPr>
            <w:r w:rsidRPr="00846426">
              <w:rPr>
                <w:b/>
                <w:szCs w:val="24"/>
              </w:rPr>
              <w:t>outstanding</w:t>
            </w:r>
          </w:p>
        </w:tc>
      </w:tr>
      <w:tr w:rsidR="00484ABE" w:rsidRPr="00846426" w:rsidTr="0087025F">
        <w:trPr>
          <w:trHeight w:val="20"/>
          <w:jc w:val="center"/>
        </w:trPr>
        <w:tc>
          <w:tcPr>
            <w:tcW w:w="1618" w:type="dxa"/>
            <w:tcMar>
              <w:bottom w:w="142" w:type="dxa"/>
            </w:tcMar>
          </w:tcPr>
          <w:p w:rsidR="00484ABE" w:rsidRPr="00846426" w:rsidRDefault="00484ABE" w:rsidP="00DE55AE">
            <w:pPr>
              <w:rPr>
                <w:szCs w:val="24"/>
              </w:rPr>
            </w:pPr>
            <w:r w:rsidRPr="00846426">
              <w:rPr>
                <w:szCs w:val="24"/>
              </w:rPr>
              <w:t>1998</w:t>
            </w:r>
            <w:r>
              <w:rPr>
                <w:szCs w:val="24"/>
              </w:rPr>
              <w:t>-2006</w:t>
            </w:r>
          </w:p>
        </w:tc>
        <w:tc>
          <w:tcPr>
            <w:tcW w:w="1173" w:type="dxa"/>
            <w:tcMar>
              <w:bottom w:w="142" w:type="dxa"/>
            </w:tcMar>
          </w:tcPr>
          <w:p w:rsidR="00484ABE" w:rsidRPr="00846426" w:rsidRDefault="00484ABE" w:rsidP="00DE55AE">
            <w:pPr>
              <w:tabs>
                <w:tab w:val="left" w:pos="635"/>
              </w:tabs>
              <w:ind w:left="-358" w:right="322"/>
              <w:jc w:val="right"/>
              <w:rPr>
                <w:szCs w:val="24"/>
              </w:rPr>
            </w:pPr>
            <w:r>
              <w:rPr>
                <w:szCs w:val="24"/>
              </w:rPr>
              <w:t>31</w:t>
            </w:r>
          </w:p>
        </w:tc>
        <w:tc>
          <w:tcPr>
            <w:tcW w:w="2070" w:type="dxa"/>
            <w:tcMar>
              <w:bottom w:w="142" w:type="dxa"/>
            </w:tcMar>
          </w:tcPr>
          <w:p w:rsidR="00484ABE" w:rsidRPr="00846426" w:rsidRDefault="00484ABE" w:rsidP="00285264">
            <w:pPr>
              <w:ind w:right="253"/>
              <w:jc w:val="right"/>
              <w:rPr>
                <w:szCs w:val="24"/>
              </w:rPr>
            </w:pPr>
            <w:r>
              <w:rPr>
                <w:szCs w:val="24"/>
              </w:rPr>
              <w:t>85,655,452</w:t>
            </w:r>
          </w:p>
        </w:tc>
        <w:tc>
          <w:tcPr>
            <w:tcW w:w="2008" w:type="dxa"/>
            <w:tcMar>
              <w:bottom w:w="142" w:type="dxa"/>
            </w:tcMar>
          </w:tcPr>
          <w:p w:rsidR="00484ABE" w:rsidRPr="00846426" w:rsidRDefault="00484ABE" w:rsidP="00285264">
            <w:pPr>
              <w:jc w:val="center"/>
              <w:rPr>
                <w:szCs w:val="24"/>
              </w:rPr>
            </w:pPr>
            <w:r w:rsidRPr="00846426">
              <w:rPr>
                <w:szCs w:val="24"/>
              </w:rPr>
              <w:t>1</w:t>
            </w:r>
            <w:r>
              <w:rPr>
                <w:szCs w:val="24"/>
              </w:rPr>
              <w:t>9 to 11</w:t>
            </w:r>
          </w:p>
        </w:tc>
      </w:tr>
      <w:tr w:rsidR="00484ABE" w:rsidRPr="00846426" w:rsidTr="0087025F">
        <w:trPr>
          <w:trHeight w:val="20"/>
          <w:jc w:val="center"/>
        </w:trPr>
        <w:tc>
          <w:tcPr>
            <w:tcW w:w="1618" w:type="dxa"/>
            <w:tcMar>
              <w:bottom w:w="142" w:type="dxa"/>
            </w:tcMar>
          </w:tcPr>
          <w:p w:rsidR="00484ABE" w:rsidRPr="00846426" w:rsidRDefault="00484ABE" w:rsidP="00DE55AE">
            <w:pPr>
              <w:rPr>
                <w:szCs w:val="24"/>
              </w:rPr>
            </w:pPr>
            <w:r>
              <w:rPr>
                <w:szCs w:val="24"/>
              </w:rPr>
              <w:t>2007-2010</w:t>
            </w:r>
          </w:p>
        </w:tc>
        <w:tc>
          <w:tcPr>
            <w:tcW w:w="1173" w:type="dxa"/>
            <w:tcMar>
              <w:bottom w:w="142" w:type="dxa"/>
            </w:tcMar>
          </w:tcPr>
          <w:p w:rsidR="00484ABE" w:rsidRPr="00846426" w:rsidRDefault="00484ABE" w:rsidP="00DE55AE">
            <w:pPr>
              <w:tabs>
                <w:tab w:val="left" w:pos="635"/>
              </w:tabs>
              <w:ind w:left="-358" w:right="322"/>
              <w:jc w:val="right"/>
              <w:rPr>
                <w:szCs w:val="24"/>
              </w:rPr>
            </w:pPr>
            <w:r>
              <w:rPr>
                <w:szCs w:val="24"/>
              </w:rPr>
              <w:t>23</w:t>
            </w:r>
            <w:r w:rsidR="00040CAC">
              <w:rPr>
                <w:szCs w:val="24"/>
              </w:rPr>
              <w:t>5</w:t>
            </w:r>
          </w:p>
        </w:tc>
        <w:tc>
          <w:tcPr>
            <w:tcW w:w="2070" w:type="dxa"/>
            <w:tcMar>
              <w:bottom w:w="142" w:type="dxa"/>
            </w:tcMar>
          </w:tcPr>
          <w:p w:rsidR="00484ABE" w:rsidRPr="00846426" w:rsidRDefault="00484ABE" w:rsidP="00285264">
            <w:pPr>
              <w:ind w:right="253"/>
              <w:jc w:val="right"/>
              <w:rPr>
                <w:szCs w:val="24"/>
              </w:rPr>
            </w:pPr>
            <w:r>
              <w:rPr>
                <w:szCs w:val="24"/>
              </w:rPr>
              <w:t>124,752,614</w:t>
            </w:r>
          </w:p>
        </w:tc>
        <w:tc>
          <w:tcPr>
            <w:tcW w:w="2008" w:type="dxa"/>
            <w:tcMar>
              <w:bottom w:w="142" w:type="dxa"/>
            </w:tcMar>
          </w:tcPr>
          <w:p w:rsidR="00484ABE" w:rsidRPr="00846426" w:rsidRDefault="00484ABE" w:rsidP="00285264">
            <w:pPr>
              <w:jc w:val="center"/>
              <w:rPr>
                <w:szCs w:val="24"/>
              </w:rPr>
            </w:pPr>
            <w:r>
              <w:rPr>
                <w:szCs w:val="24"/>
              </w:rPr>
              <w:t>10 to 7</w:t>
            </w:r>
          </w:p>
        </w:tc>
      </w:tr>
      <w:tr w:rsidR="00484ABE" w:rsidRPr="00846426" w:rsidTr="0087025F">
        <w:trPr>
          <w:trHeight w:val="20"/>
          <w:jc w:val="center"/>
        </w:trPr>
        <w:tc>
          <w:tcPr>
            <w:tcW w:w="1618" w:type="dxa"/>
          </w:tcPr>
          <w:p w:rsidR="00484ABE" w:rsidRPr="00846426" w:rsidRDefault="00484ABE" w:rsidP="00DE55AE">
            <w:pPr>
              <w:rPr>
                <w:b/>
                <w:szCs w:val="24"/>
              </w:rPr>
            </w:pPr>
            <w:r w:rsidRPr="00846426">
              <w:rPr>
                <w:b/>
                <w:szCs w:val="24"/>
              </w:rPr>
              <w:t>Total</w:t>
            </w:r>
          </w:p>
        </w:tc>
        <w:tc>
          <w:tcPr>
            <w:tcW w:w="1173" w:type="dxa"/>
          </w:tcPr>
          <w:p w:rsidR="00484ABE" w:rsidRPr="00025021" w:rsidRDefault="00484ABE" w:rsidP="00DE55AE">
            <w:pPr>
              <w:tabs>
                <w:tab w:val="left" w:pos="635"/>
              </w:tabs>
              <w:ind w:left="-358" w:right="322"/>
              <w:jc w:val="right"/>
              <w:rPr>
                <w:b/>
                <w:szCs w:val="24"/>
              </w:rPr>
            </w:pPr>
            <w:r w:rsidRPr="00025021">
              <w:rPr>
                <w:b/>
                <w:szCs w:val="24"/>
              </w:rPr>
              <w:t>26</w:t>
            </w:r>
            <w:r w:rsidR="00040CAC">
              <w:rPr>
                <w:b/>
                <w:szCs w:val="24"/>
              </w:rPr>
              <w:t>6</w:t>
            </w:r>
          </w:p>
        </w:tc>
        <w:tc>
          <w:tcPr>
            <w:tcW w:w="2070" w:type="dxa"/>
          </w:tcPr>
          <w:p w:rsidR="00484ABE" w:rsidRPr="00846426" w:rsidRDefault="00484ABE" w:rsidP="00285264">
            <w:pPr>
              <w:ind w:right="253"/>
              <w:jc w:val="right"/>
              <w:rPr>
                <w:b/>
                <w:szCs w:val="24"/>
              </w:rPr>
            </w:pPr>
            <w:r>
              <w:rPr>
                <w:b/>
                <w:szCs w:val="24"/>
              </w:rPr>
              <w:t>210,408,066</w:t>
            </w:r>
          </w:p>
        </w:tc>
        <w:tc>
          <w:tcPr>
            <w:tcW w:w="2008" w:type="dxa"/>
          </w:tcPr>
          <w:p w:rsidR="00484ABE" w:rsidRPr="00846426" w:rsidRDefault="00484ABE" w:rsidP="00285264">
            <w:pPr>
              <w:jc w:val="center"/>
              <w:rPr>
                <w:szCs w:val="24"/>
              </w:rPr>
            </w:pPr>
          </w:p>
        </w:tc>
      </w:tr>
    </w:tbl>
    <w:p w:rsidR="00484ABE" w:rsidRPr="00285264" w:rsidRDefault="00484ABE" w:rsidP="0087025F">
      <w:pPr>
        <w:pBdr>
          <w:bottom w:val="single" w:sz="4" w:space="1" w:color="auto"/>
        </w:pBdr>
        <w:spacing w:after="0" w:line="240" w:lineRule="auto"/>
        <w:contextualSpacing/>
        <w:jc w:val="both"/>
        <w:rPr>
          <w:szCs w:val="24"/>
        </w:rPr>
      </w:pPr>
    </w:p>
    <w:p w:rsidR="00285264" w:rsidRDefault="00285264" w:rsidP="00484ABE">
      <w:pPr>
        <w:spacing w:after="0" w:line="240" w:lineRule="auto"/>
        <w:contextualSpacing/>
        <w:jc w:val="both"/>
        <w:rPr>
          <w:color w:val="0070C0"/>
          <w:szCs w:val="24"/>
        </w:rPr>
      </w:pPr>
    </w:p>
    <w:p w:rsidR="00484ABE" w:rsidRPr="004A710B" w:rsidRDefault="00484ABE" w:rsidP="00B628CB">
      <w:pPr>
        <w:pStyle w:val="ListParagraph"/>
        <w:numPr>
          <w:ilvl w:val="0"/>
          <w:numId w:val="28"/>
        </w:numPr>
        <w:tabs>
          <w:tab w:val="left" w:pos="360"/>
        </w:tabs>
        <w:spacing w:after="0" w:line="240" w:lineRule="auto"/>
        <w:ind w:left="360"/>
        <w:jc w:val="both"/>
      </w:pPr>
      <w:r>
        <w:t>Of the</w:t>
      </w:r>
      <w:r w:rsidRPr="007D5684">
        <w:t xml:space="preserve"> total arrears of revenue </w:t>
      </w:r>
      <w:r>
        <w:t>figure of Rs</w:t>
      </w:r>
      <w:r w:rsidRPr="00637432">
        <w:t xml:space="preserve"> </w:t>
      </w:r>
      <w:r w:rsidRPr="00846426">
        <w:t>687.</w:t>
      </w:r>
      <w:r>
        <w:t>9</w:t>
      </w:r>
      <w:r w:rsidRPr="00846426">
        <w:t xml:space="preserve"> million</w:t>
      </w:r>
      <w:r>
        <w:t xml:space="preserve">, </w:t>
      </w:r>
      <w:r w:rsidRPr="007D5684">
        <w:t>some Rs 164.</w:t>
      </w:r>
      <w:r w:rsidR="00040CAC">
        <w:t>8</w:t>
      </w:r>
      <w:r w:rsidRPr="007D5684">
        <w:t xml:space="preserve"> million</w:t>
      </w:r>
      <w:r>
        <w:t xml:space="preserve"> </w:t>
      </w:r>
      <w:r w:rsidR="00951F36">
        <w:br/>
      </w:r>
      <w:r>
        <w:t>(24 per cent)</w:t>
      </w:r>
      <w:r w:rsidRPr="007D5684">
        <w:t xml:space="preserve"> </w:t>
      </w:r>
      <w:r>
        <w:t xml:space="preserve">representing </w:t>
      </w:r>
      <w:r w:rsidR="00040CAC">
        <w:t>355</w:t>
      </w:r>
      <w:r w:rsidRPr="007D5684">
        <w:t xml:space="preserve"> debtors</w:t>
      </w:r>
      <w:r>
        <w:t xml:space="preserve"> were classified as “</w:t>
      </w:r>
      <w:r w:rsidRPr="00E81A23">
        <w:rPr>
          <w:i/>
        </w:rPr>
        <w:t>Pending Review</w:t>
      </w:r>
      <w:r w:rsidR="00040CAC">
        <w:t xml:space="preserve">”, as shown in Table </w:t>
      </w:r>
      <w:r w:rsidR="009B3218">
        <w:t>6-1</w:t>
      </w:r>
      <w:r w:rsidR="00CA4A50">
        <w:t>4</w:t>
      </w:r>
      <w:r>
        <w:t>.</w:t>
      </w:r>
      <w:r w:rsidR="003C3E99">
        <w:t xml:space="preserve"> </w:t>
      </w:r>
      <w:r w:rsidR="004A710B">
        <w:t xml:space="preserve">In </w:t>
      </w:r>
      <w:r w:rsidR="004A710B" w:rsidRPr="00A73130">
        <w:t>the Return</w:t>
      </w:r>
      <w:r w:rsidR="004A710B">
        <w:t>s</w:t>
      </w:r>
      <w:r w:rsidR="004A710B" w:rsidRPr="00A73130">
        <w:t xml:space="preserve"> of Arrears of Revenue, some Rs 156.7 million were shown as “</w:t>
      </w:r>
      <w:r w:rsidR="004A710B" w:rsidRPr="00A73130">
        <w:rPr>
          <w:i/>
        </w:rPr>
        <w:t>Pending Adjustments</w:t>
      </w:r>
      <w:r w:rsidR="004A710B" w:rsidRPr="00A73130">
        <w:t xml:space="preserve">”. The difference of </w:t>
      </w:r>
      <w:r w:rsidR="004A710B">
        <w:t xml:space="preserve">some </w:t>
      </w:r>
      <w:r w:rsidR="004A710B" w:rsidRPr="00A73130">
        <w:t>Rs 8.</w:t>
      </w:r>
      <w:r w:rsidR="004A710B">
        <w:t>1</w:t>
      </w:r>
      <w:r w:rsidR="004A710B" w:rsidRPr="00A73130">
        <w:t xml:space="preserve"> million could not be explained.</w:t>
      </w:r>
    </w:p>
    <w:p w:rsidR="00484ABE" w:rsidRPr="00E81A23" w:rsidRDefault="00484ABE" w:rsidP="00484ABE">
      <w:pPr>
        <w:pStyle w:val="ListParagraph"/>
        <w:spacing w:after="0" w:line="240" w:lineRule="auto"/>
        <w:ind w:left="360"/>
        <w:jc w:val="both"/>
        <w:rPr>
          <w:i/>
        </w:rPr>
      </w:pPr>
    </w:p>
    <w:p w:rsidR="00484ABE" w:rsidRDefault="00484ABE" w:rsidP="0087025F">
      <w:pPr>
        <w:pStyle w:val="ListParagraph"/>
        <w:spacing w:after="0" w:line="240" w:lineRule="auto"/>
        <w:ind w:left="360"/>
        <w:jc w:val="center"/>
        <w:rPr>
          <w:i/>
        </w:rPr>
      </w:pPr>
      <w:r w:rsidRPr="00846426">
        <w:rPr>
          <w:i/>
        </w:rPr>
        <w:t xml:space="preserve">Table </w:t>
      </w:r>
      <w:bookmarkStart w:id="14" w:name="_Hlk507250292"/>
      <w:r w:rsidR="009B3218">
        <w:rPr>
          <w:i/>
        </w:rPr>
        <w:t>6-</w:t>
      </w:r>
      <w:proofErr w:type="gramStart"/>
      <w:r w:rsidR="009B3218">
        <w:rPr>
          <w:i/>
        </w:rPr>
        <w:t>1</w:t>
      </w:r>
      <w:r w:rsidR="00CA4A50">
        <w:rPr>
          <w:i/>
        </w:rPr>
        <w:t>4</w:t>
      </w:r>
      <w:r w:rsidR="00D67A2B">
        <w:rPr>
          <w:i/>
        </w:rPr>
        <w:t xml:space="preserve"> </w:t>
      </w:r>
      <w:r w:rsidRPr="00846426">
        <w:rPr>
          <w:i/>
        </w:rPr>
        <w:t xml:space="preserve"> Pending</w:t>
      </w:r>
      <w:proofErr w:type="gramEnd"/>
      <w:r w:rsidRPr="00846426">
        <w:rPr>
          <w:i/>
        </w:rPr>
        <w:t xml:space="preserve"> Review Cases</w:t>
      </w:r>
      <w:bookmarkEnd w:id="14"/>
    </w:p>
    <w:p w:rsidR="00285264" w:rsidRDefault="00285264" w:rsidP="0087025F">
      <w:pPr>
        <w:pStyle w:val="ListParagraph"/>
        <w:spacing w:after="0" w:line="240" w:lineRule="auto"/>
        <w:ind w:left="0"/>
        <w:rPr>
          <w:i/>
        </w:rPr>
      </w:pPr>
    </w:p>
    <w:p w:rsidR="0087025F" w:rsidRPr="00A00D25" w:rsidRDefault="0087025F" w:rsidP="0087025F">
      <w:pPr>
        <w:pStyle w:val="ListParagraph"/>
        <w:pBdr>
          <w:top w:val="single" w:sz="4" w:space="1" w:color="auto"/>
        </w:pBdr>
        <w:spacing w:after="0" w:line="240" w:lineRule="auto"/>
        <w:ind w:left="0"/>
        <w:rPr>
          <w:i/>
        </w:rPr>
      </w:pPr>
    </w:p>
    <w:tbl>
      <w:tblPr>
        <w:tblW w:w="8184" w:type="dxa"/>
        <w:jc w:val="center"/>
        <w:tblLook w:val="04A0" w:firstRow="1" w:lastRow="0" w:firstColumn="1" w:lastColumn="0" w:noHBand="0" w:noVBand="1"/>
      </w:tblPr>
      <w:tblGrid>
        <w:gridCol w:w="5084"/>
        <w:gridCol w:w="1520"/>
        <w:gridCol w:w="1580"/>
      </w:tblGrid>
      <w:tr w:rsidR="00484ABE" w:rsidRPr="00846426" w:rsidTr="00DE55AE">
        <w:trPr>
          <w:trHeight w:val="20"/>
          <w:jc w:val="center"/>
        </w:trPr>
        <w:tc>
          <w:tcPr>
            <w:tcW w:w="5084" w:type="dxa"/>
            <w:shd w:val="clear" w:color="auto" w:fill="auto"/>
            <w:noWrap/>
            <w:tcMar>
              <w:bottom w:w="142" w:type="dxa"/>
            </w:tcMar>
            <w:hideMark/>
          </w:tcPr>
          <w:p w:rsidR="00484ABE" w:rsidRPr="005630E0" w:rsidRDefault="00484ABE" w:rsidP="00DE55AE">
            <w:pPr>
              <w:spacing w:after="0" w:line="240" w:lineRule="auto"/>
              <w:rPr>
                <w:rFonts w:eastAsia="Times New Roman"/>
                <w:b/>
                <w:szCs w:val="24"/>
              </w:rPr>
            </w:pPr>
            <w:r w:rsidRPr="005630E0">
              <w:rPr>
                <w:rFonts w:eastAsia="Times New Roman"/>
                <w:b/>
                <w:szCs w:val="24"/>
              </w:rPr>
              <w:t>Classification</w:t>
            </w:r>
          </w:p>
        </w:tc>
        <w:tc>
          <w:tcPr>
            <w:tcW w:w="1520" w:type="dxa"/>
            <w:shd w:val="clear" w:color="auto" w:fill="auto"/>
            <w:noWrap/>
            <w:tcMar>
              <w:bottom w:w="142" w:type="dxa"/>
            </w:tcMar>
            <w:hideMark/>
          </w:tcPr>
          <w:p w:rsidR="00484ABE" w:rsidRPr="005630E0" w:rsidRDefault="00484ABE" w:rsidP="00285264">
            <w:pPr>
              <w:spacing w:after="0" w:line="240" w:lineRule="auto"/>
              <w:jc w:val="center"/>
              <w:rPr>
                <w:rFonts w:eastAsia="Times New Roman"/>
                <w:b/>
                <w:szCs w:val="24"/>
              </w:rPr>
            </w:pPr>
            <w:r w:rsidRPr="005630E0">
              <w:rPr>
                <w:rFonts w:eastAsia="Times New Roman"/>
                <w:b/>
                <w:szCs w:val="24"/>
              </w:rPr>
              <w:t>Number of debtors</w:t>
            </w:r>
          </w:p>
        </w:tc>
        <w:tc>
          <w:tcPr>
            <w:tcW w:w="1580" w:type="dxa"/>
            <w:shd w:val="clear" w:color="auto" w:fill="auto"/>
            <w:noWrap/>
            <w:tcMar>
              <w:bottom w:w="142" w:type="dxa"/>
            </w:tcMar>
            <w:hideMark/>
          </w:tcPr>
          <w:p w:rsidR="00484ABE" w:rsidRPr="00846426" w:rsidRDefault="00484ABE" w:rsidP="00285264">
            <w:pPr>
              <w:spacing w:after="0" w:line="240" w:lineRule="auto"/>
              <w:jc w:val="center"/>
              <w:rPr>
                <w:rFonts w:eastAsia="Times New Roman"/>
                <w:b/>
                <w:szCs w:val="24"/>
              </w:rPr>
            </w:pPr>
            <w:r w:rsidRPr="00846426">
              <w:rPr>
                <w:rFonts w:eastAsia="Times New Roman"/>
                <w:b/>
                <w:szCs w:val="24"/>
              </w:rPr>
              <w:t>Amount</w:t>
            </w:r>
          </w:p>
          <w:p w:rsidR="00484ABE" w:rsidRPr="00846426" w:rsidRDefault="00484ABE" w:rsidP="00285264">
            <w:pPr>
              <w:spacing w:after="0" w:line="240" w:lineRule="auto"/>
              <w:jc w:val="center"/>
              <w:rPr>
                <w:rFonts w:eastAsia="Times New Roman"/>
                <w:b/>
                <w:szCs w:val="24"/>
              </w:rPr>
            </w:pPr>
            <w:r w:rsidRPr="00846426">
              <w:rPr>
                <w:rFonts w:eastAsia="Times New Roman"/>
                <w:b/>
                <w:szCs w:val="24"/>
              </w:rPr>
              <w:t>Rs</w:t>
            </w:r>
          </w:p>
        </w:tc>
      </w:tr>
      <w:tr w:rsidR="00484ABE" w:rsidRPr="00846426" w:rsidTr="0087025F">
        <w:trPr>
          <w:trHeight w:val="20"/>
          <w:jc w:val="center"/>
        </w:trPr>
        <w:tc>
          <w:tcPr>
            <w:tcW w:w="5084" w:type="dxa"/>
            <w:shd w:val="clear" w:color="auto" w:fill="auto"/>
            <w:noWrap/>
            <w:tcMar>
              <w:bottom w:w="142" w:type="dxa"/>
            </w:tcMar>
            <w:vAlign w:val="bottom"/>
          </w:tcPr>
          <w:p w:rsidR="00484ABE" w:rsidRPr="005630E0" w:rsidRDefault="00484ABE" w:rsidP="00285264">
            <w:pPr>
              <w:spacing w:after="0" w:line="240" w:lineRule="auto"/>
              <w:jc w:val="both"/>
              <w:rPr>
                <w:rFonts w:eastAsia="Times New Roman"/>
                <w:szCs w:val="24"/>
              </w:rPr>
            </w:pPr>
            <w:r w:rsidRPr="005630E0">
              <w:rPr>
                <w:rFonts w:eastAsia="Times New Roman"/>
                <w:szCs w:val="24"/>
              </w:rPr>
              <w:t>Pending Review</w:t>
            </w:r>
          </w:p>
        </w:tc>
        <w:tc>
          <w:tcPr>
            <w:tcW w:w="1520" w:type="dxa"/>
            <w:shd w:val="clear" w:color="auto" w:fill="auto"/>
            <w:noWrap/>
            <w:tcMar>
              <w:bottom w:w="142" w:type="dxa"/>
            </w:tcMar>
            <w:vAlign w:val="bottom"/>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9</w:t>
            </w:r>
          </w:p>
        </w:tc>
        <w:tc>
          <w:tcPr>
            <w:tcW w:w="1580" w:type="dxa"/>
            <w:shd w:val="clear" w:color="auto" w:fill="auto"/>
            <w:noWrap/>
            <w:tcMar>
              <w:bottom w:w="142" w:type="dxa"/>
            </w:tcMar>
            <w:vAlign w:val="bottom"/>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 xml:space="preserve">6,178,762 </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jc w:val="both"/>
              <w:rPr>
                <w:rFonts w:eastAsia="Times New Roman"/>
                <w:szCs w:val="24"/>
              </w:rPr>
            </w:pPr>
            <w:r w:rsidRPr="005630E0">
              <w:rPr>
                <w:rFonts w:eastAsia="Times New Roman"/>
                <w:szCs w:val="24"/>
              </w:rPr>
              <w:t>Pending Review-Claim</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3</w:t>
            </w:r>
          </w:p>
        </w:tc>
        <w:tc>
          <w:tcPr>
            <w:tcW w:w="1580" w:type="dxa"/>
            <w:shd w:val="clear" w:color="auto" w:fill="auto"/>
            <w:noWrap/>
            <w:tcMar>
              <w:bottom w:w="142" w:type="dxa"/>
            </w:tcMar>
            <w:vAlign w:val="bottom"/>
            <w:hideMark/>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3,137,680</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rPr>
                <w:rFonts w:eastAsia="Times New Roman"/>
                <w:szCs w:val="24"/>
              </w:rPr>
            </w:pPr>
            <w:r w:rsidRPr="005630E0">
              <w:rPr>
                <w:rFonts w:eastAsia="Times New Roman"/>
                <w:szCs w:val="24"/>
              </w:rPr>
              <w:t>Pending Review-No Further Action (NFA)</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9</w:t>
            </w:r>
          </w:p>
        </w:tc>
        <w:tc>
          <w:tcPr>
            <w:tcW w:w="1580" w:type="dxa"/>
            <w:shd w:val="clear" w:color="auto" w:fill="auto"/>
            <w:noWrap/>
            <w:tcMar>
              <w:bottom w:w="142" w:type="dxa"/>
            </w:tcMar>
            <w:vAlign w:val="bottom"/>
            <w:hideMark/>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 xml:space="preserve">2,062,849 </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jc w:val="both"/>
              <w:rPr>
                <w:rFonts w:eastAsia="Times New Roman"/>
                <w:szCs w:val="24"/>
              </w:rPr>
            </w:pPr>
            <w:r w:rsidRPr="005630E0">
              <w:rPr>
                <w:rFonts w:eastAsia="Times New Roman"/>
                <w:szCs w:val="24"/>
              </w:rPr>
              <w:t>Pending Review-NFA Legal Service Dept.</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37</w:t>
            </w:r>
          </w:p>
        </w:tc>
        <w:tc>
          <w:tcPr>
            <w:tcW w:w="1580" w:type="dxa"/>
            <w:shd w:val="clear" w:color="auto" w:fill="auto"/>
            <w:noWrap/>
            <w:tcMar>
              <w:bottom w:w="142" w:type="dxa"/>
            </w:tcMar>
            <w:vAlign w:val="bottom"/>
            <w:hideMark/>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 xml:space="preserve">49,392,549 </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rPr>
                <w:rFonts w:eastAsia="Times New Roman"/>
                <w:szCs w:val="24"/>
              </w:rPr>
            </w:pPr>
            <w:r w:rsidRPr="005630E0">
              <w:rPr>
                <w:rFonts w:eastAsia="Times New Roman"/>
                <w:szCs w:val="24"/>
              </w:rPr>
              <w:t>Pending Review-Accused Abroad</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49</w:t>
            </w:r>
          </w:p>
        </w:tc>
        <w:tc>
          <w:tcPr>
            <w:tcW w:w="1580" w:type="dxa"/>
            <w:shd w:val="clear" w:color="auto" w:fill="auto"/>
            <w:noWrap/>
            <w:tcMar>
              <w:bottom w:w="142" w:type="dxa"/>
            </w:tcMar>
            <w:vAlign w:val="bottom"/>
            <w:hideMark/>
          </w:tcPr>
          <w:p w:rsidR="00484ABE" w:rsidRPr="00846426" w:rsidRDefault="00040CAC" w:rsidP="00285264">
            <w:pPr>
              <w:spacing w:after="0" w:line="240" w:lineRule="auto"/>
              <w:ind w:right="128"/>
              <w:jc w:val="right"/>
              <w:rPr>
                <w:rFonts w:eastAsia="Times New Roman"/>
                <w:szCs w:val="24"/>
              </w:rPr>
            </w:pPr>
            <w:r>
              <w:rPr>
                <w:rFonts w:eastAsia="Times New Roman"/>
                <w:szCs w:val="24"/>
              </w:rPr>
              <w:t>3,825,611</w:t>
            </w:r>
            <w:r w:rsidR="00484ABE" w:rsidRPr="00846426">
              <w:rPr>
                <w:rFonts w:eastAsia="Times New Roman"/>
                <w:szCs w:val="24"/>
              </w:rPr>
              <w:t xml:space="preserve"> </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rPr>
                <w:rFonts w:eastAsia="Times New Roman"/>
                <w:szCs w:val="24"/>
              </w:rPr>
            </w:pPr>
            <w:r w:rsidRPr="005630E0">
              <w:rPr>
                <w:rFonts w:eastAsia="Times New Roman"/>
                <w:szCs w:val="24"/>
              </w:rPr>
              <w:t>Pending Review-Customs Offence Report Raised</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1</w:t>
            </w:r>
          </w:p>
        </w:tc>
        <w:tc>
          <w:tcPr>
            <w:tcW w:w="1580" w:type="dxa"/>
            <w:shd w:val="clear" w:color="auto" w:fill="auto"/>
            <w:noWrap/>
            <w:tcMar>
              <w:bottom w:w="142" w:type="dxa"/>
            </w:tcMar>
            <w:vAlign w:val="bottom"/>
            <w:hideMark/>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1,325,916</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jc w:val="both"/>
              <w:rPr>
                <w:rFonts w:eastAsia="Times New Roman"/>
                <w:szCs w:val="24"/>
              </w:rPr>
            </w:pPr>
            <w:r w:rsidRPr="005630E0">
              <w:rPr>
                <w:rFonts w:eastAsia="Times New Roman"/>
                <w:szCs w:val="24"/>
              </w:rPr>
              <w:t>Pending Review-Fined at Court</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3</w:t>
            </w:r>
          </w:p>
        </w:tc>
        <w:tc>
          <w:tcPr>
            <w:tcW w:w="1580" w:type="dxa"/>
            <w:shd w:val="clear" w:color="auto" w:fill="auto"/>
            <w:noWrap/>
            <w:tcMar>
              <w:bottom w:w="142" w:type="dxa"/>
            </w:tcMar>
            <w:vAlign w:val="bottom"/>
            <w:hideMark/>
          </w:tcPr>
          <w:p w:rsidR="00484ABE" w:rsidRPr="00846426" w:rsidRDefault="00484ABE" w:rsidP="00285264">
            <w:pPr>
              <w:spacing w:after="0" w:line="240" w:lineRule="auto"/>
              <w:ind w:right="128"/>
              <w:jc w:val="right"/>
              <w:rPr>
                <w:rFonts w:eastAsia="Times New Roman"/>
                <w:szCs w:val="24"/>
              </w:rPr>
            </w:pPr>
            <w:r w:rsidRPr="00846426">
              <w:rPr>
                <w:rFonts w:eastAsia="Times New Roman"/>
                <w:szCs w:val="24"/>
              </w:rPr>
              <w:t xml:space="preserve">133,428 </w:t>
            </w:r>
          </w:p>
        </w:tc>
      </w:tr>
      <w:tr w:rsidR="00484ABE" w:rsidRPr="00846426" w:rsidTr="0087025F">
        <w:trPr>
          <w:trHeight w:val="20"/>
          <w:jc w:val="center"/>
        </w:trPr>
        <w:tc>
          <w:tcPr>
            <w:tcW w:w="5084" w:type="dxa"/>
            <w:shd w:val="clear" w:color="auto" w:fill="auto"/>
            <w:noWrap/>
            <w:tcMar>
              <w:bottom w:w="142" w:type="dxa"/>
            </w:tcMar>
            <w:vAlign w:val="bottom"/>
            <w:hideMark/>
          </w:tcPr>
          <w:p w:rsidR="00484ABE" w:rsidRPr="005630E0" w:rsidRDefault="00484ABE" w:rsidP="00285264">
            <w:pPr>
              <w:spacing w:after="0" w:line="240" w:lineRule="auto"/>
              <w:jc w:val="both"/>
              <w:rPr>
                <w:rFonts w:eastAsia="Times New Roman"/>
                <w:szCs w:val="24"/>
              </w:rPr>
            </w:pPr>
            <w:r w:rsidRPr="005630E0">
              <w:rPr>
                <w:rFonts w:eastAsia="Times New Roman"/>
                <w:szCs w:val="24"/>
              </w:rPr>
              <w:t>Pending Review-Time Barred</w:t>
            </w:r>
          </w:p>
        </w:tc>
        <w:tc>
          <w:tcPr>
            <w:tcW w:w="1520" w:type="dxa"/>
            <w:shd w:val="clear" w:color="auto" w:fill="auto"/>
            <w:noWrap/>
            <w:tcMar>
              <w:bottom w:w="142" w:type="dxa"/>
            </w:tcMar>
            <w:vAlign w:val="bottom"/>
            <w:hideMark/>
          </w:tcPr>
          <w:p w:rsidR="00484ABE" w:rsidRPr="005630E0" w:rsidRDefault="00484ABE" w:rsidP="00285264">
            <w:pPr>
              <w:spacing w:after="0" w:line="240" w:lineRule="auto"/>
              <w:ind w:right="438"/>
              <w:jc w:val="right"/>
              <w:rPr>
                <w:rFonts w:eastAsia="Times New Roman"/>
                <w:szCs w:val="24"/>
              </w:rPr>
            </w:pPr>
            <w:r w:rsidRPr="005630E0">
              <w:rPr>
                <w:rFonts w:eastAsia="Times New Roman"/>
                <w:szCs w:val="24"/>
              </w:rPr>
              <w:t>24</w:t>
            </w:r>
            <w:r w:rsidR="00040CAC">
              <w:rPr>
                <w:rFonts w:eastAsia="Times New Roman"/>
                <w:szCs w:val="24"/>
              </w:rPr>
              <w:t>4</w:t>
            </w:r>
          </w:p>
        </w:tc>
        <w:tc>
          <w:tcPr>
            <w:tcW w:w="1580" w:type="dxa"/>
            <w:shd w:val="clear" w:color="auto" w:fill="auto"/>
            <w:noWrap/>
            <w:tcMar>
              <w:bottom w:w="142" w:type="dxa"/>
            </w:tcMar>
            <w:vAlign w:val="bottom"/>
            <w:hideMark/>
          </w:tcPr>
          <w:p w:rsidR="00484ABE" w:rsidRPr="00846426" w:rsidRDefault="00040CAC" w:rsidP="00285264">
            <w:pPr>
              <w:spacing w:after="0" w:line="240" w:lineRule="auto"/>
              <w:ind w:right="128"/>
              <w:jc w:val="right"/>
              <w:rPr>
                <w:rFonts w:eastAsia="Times New Roman"/>
                <w:szCs w:val="24"/>
              </w:rPr>
            </w:pPr>
            <w:r>
              <w:rPr>
                <w:rFonts w:eastAsia="Times New Roman"/>
                <w:szCs w:val="24"/>
              </w:rPr>
              <w:t>98,768,65</w:t>
            </w:r>
            <w:r w:rsidR="00484ABE" w:rsidRPr="00846426">
              <w:rPr>
                <w:rFonts w:eastAsia="Times New Roman"/>
                <w:szCs w:val="24"/>
              </w:rPr>
              <w:t xml:space="preserve">2 </w:t>
            </w:r>
          </w:p>
        </w:tc>
      </w:tr>
      <w:tr w:rsidR="00484ABE" w:rsidRPr="00846426" w:rsidTr="00285264">
        <w:trPr>
          <w:trHeight w:val="360"/>
          <w:jc w:val="center"/>
        </w:trPr>
        <w:tc>
          <w:tcPr>
            <w:tcW w:w="5084" w:type="dxa"/>
            <w:shd w:val="clear" w:color="auto" w:fill="auto"/>
            <w:noWrap/>
            <w:vAlign w:val="bottom"/>
          </w:tcPr>
          <w:p w:rsidR="00484ABE" w:rsidRPr="005630E0" w:rsidRDefault="00484ABE" w:rsidP="00285264">
            <w:pPr>
              <w:spacing w:after="0" w:line="240" w:lineRule="auto"/>
              <w:ind w:left="720" w:hanging="720"/>
              <w:jc w:val="both"/>
              <w:rPr>
                <w:rFonts w:eastAsia="Times New Roman"/>
                <w:b/>
                <w:szCs w:val="24"/>
              </w:rPr>
            </w:pPr>
            <w:r w:rsidRPr="005630E0">
              <w:rPr>
                <w:rFonts w:eastAsia="Times New Roman"/>
                <w:b/>
                <w:szCs w:val="24"/>
              </w:rPr>
              <w:t>Total</w:t>
            </w:r>
          </w:p>
        </w:tc>
        <w:tc>
          <w:tcPr>
            <w:tcW w:w="1520" w:type="dxa"/>
            <w:shd w:val="clear" w:color="auto" w:fill="auto"/>
            <w:noWrap/>
            <w:vAlign w:val="bottom"/>
          </w:tcPr>
          <w:p w:rsidR="00484ABE" w:rsidRPr="005630E0" w:rsidRDefault="00484ABE" w:rsidP="00285264">
            <w:pPr>
              <w:spacing w:after="0" w:line="240" w:lineRule="auto"/>
              <w:ind w:right="438"/>
              <w:jc w:val="right"/>
              <w:rPr>
                <w:rFonts w:eastAsia="Times New Roman"/>
                <w:b/>
                <w:szCs w:val="24"/>
              </w:rPr>
            </w:pPr>
            <w:r w:rsidRPr="005630E0">
              <w:rPr>
                <w:rFonts w:eastAsia="Times New Roman"/>
                <w:b/>
                <w:szCs w:val="24"/>
              </w:rPr>
              <w:t>35</w:t>
            </w:r>
            <w:r w:rsidR="00040CAC">
              <w:rPr>
                <w:rFonts w:eastAsia="Times New Roman"/>
                <w:b/>
                <w:szCs w:val="24"/>
              </w:rPr>
              <w:t>5</w:t>
            </w:r>
          </w:p>
        </w:tc>
        <w:tc>
          <w:tcPr>
            <w:tcW w:w="1580" w:type="dxa"/>
            <w:shd w:val="clear" w:color="auto" w:fill="auto"/>
            <w:noWrap/>
            <w:vAlign w:val="bottom"/>
          </w:tcPr>
          <w:p w:rsidR="00484ABE" w:rsidRPr="00846426" w:rsidRDefault="00040CAC" w:rsidP="00285264">
            <w:pPr>
              <w:spacing w:after="0" w:line="240" w:lineRule="auto"/>
              <w:ind w:right="128"/>
              <w:jc w:val="right"/>
              <w:rPr>
                <w:rFonts w:eastAsia="Times New Roman"/>
                <w:b/>
                <w:szCs w:val="24"/>
              </w:rPr>
            </w:pPr>
            <w:r>
              <w:rPr>
                <w:rFonts w:eastAsia="Times New Roman"/>
                <w:b/>
                <w:szCs w:val="24"/>
              </w:rPr>
              <w:t>164,825</w:t>
            </w:r>
            <w:r w:rsidR="00484ABE" w:rsidRPr="00846426">
              <w:rPr>
                <w:rFonts w:eastAsia="Times New Roman"/>
                <w:b/>
                <w:szCs w:val="24"/>
              </w:rPr>
              <w:t>,</w:t>
            </w:r>
            <w:r>
              <w:rPr>
                <w:rFonts w:eastAsia="Times New Roman"/>
                <w:b/>
                <w:szCs w:val="24"/>
              </w:rPr>
              <w:t>447</w:t>
            </w:r>
          </w:p>
        </w:tc>
      </w:tr>
    </w:tbl>
    <w:p w:rsidR="00484ABE" w:rsidRDefault="00484ABE" w:rsidP="0087025F">
      <w:pPr>
        <w:pBdr>
          <w:bottom w:val="single" w:sz="4" w:space="1" w:color="auto"/>
        </w:pBdr>
        <w:spacing w:after="0" w:line="240" w:lineRule="auto"/>
        <w:contextualSpacing/>
        <w:jc w:val="both"/>
        <w:rPr>
          <w:rFonts w:eastAsia="Times New Roman"/>
          <w:szCs w:val="24"/>
        </w:rPr>
      </w:pPr>
    </w:p>
    <w:p w:rsidR="00285264" w:rsidRDefault="00285264" w:rsidP="00484ABE">
      <w:pPr>
        <w:spacing w:after="0" w:line="240" w:lineRule="auto"/>
        <w:ind w:left="426"/>
        <w:contextualSpacing/>
        <w:jc w:val="both"/>
        <w:rPr>
          <w:rFonts w:eastAsia="Times New Roman"/>
          <w:szCs w:val="24"/>
        </w:rPr>
      </w:pPr>
    </w:p>
    <w:p w:rsidR="00484ABE" w:rsidRPr="00054433" w:rsidRDefault="00484ABE" w:rsidP="00484ABE">
      <w:pPr>
        <w:spacing w:after="0" w:line="240" w:lineRule="auto"/>
        <w:contextualSpacing/>
        <w:jc w:val="both"/>
        <w:rPr>
          <w:color w:val="FF0000"/>
          <w:szCs w:val="24"/>
        </w:rPr>
      </w:pPr>
    </w:p>
    <w:p w:rsidR="00484ABE" w:rsidRPr="00125AF3" w:rsidRDefault="00484ABE" w:rsidP="00484ABE">
      <w:pPr>
        <w:pStyle w:val="ListParagraph"/>
        <w:spacing w:after="0" w:line="240" w:lineRule="auto"/>
        <w:ind w:left="0"/>
        <w:jc w:val="both"/>
        <w:rPr>
          <w:i/>
        </w:rPr>
      </w:pPr>
      <w:r w:rsidRPr="00125AF3">
        <w:rPr>
          <w:i/>
        </w:rPr>
        <w:t>Time Barred Cases</w:t>
      </w:r>
    </w:p>
    <w:p w:rsidR="00484ABE" w:rsidRPr="00846426" w:rsidRDefault="00484ABE" w:rsidP="00484ABE">
      <w:pPr>
        <w:pStyle w:val="ListParagraph"/>
        <w:tabs>
          <w:tab w:val="left" w:pos="450"/>
        </w:tabs>
        <w:spacing w:after="0" w:line="240" w:lineRule="auto"/>
        <w:ind w:left="0"/>
        <w:jc w:val="both"/>
      </w:pPr>
    </w:p>
    <w:p w:rsidR="00484ABE" w:rsidRPr="00997904" w:rsidRDefault="00040CAC" w:rsidP="00B628CB">
      <w:pPr>
        <w:pStyle w:val="ListParagraph"/>
        <w:numPr>
          <w:ilvl w:val="0"/>
          <w:numId w:val="28"/>
        </w:numPr>
        <w:spacing w:after="0" w:line="240" w:lineRule="auto"/>
        <w:ind w:left="360"/>
        <w:jc w:val="both"/>
      </w:pPr>
      <w:r>
        <w:t>As of 30 June 2017, 244</w:t>
      </w:r>
      <w:r w:rsidR="00484ABE" w:rsidRPr="00BF55C1">
        <w:t xml:space="preserve"> cases </w:t>
      </w:r>
      <w:proofErr w:type="spellStart"/>
      <w:r w:rsidR="00484ABE">
        <w:t>totalling</w:t>
      </w:r>
      <w:proofErr w:type="spellEnd"/>
      <w:r w:rsidR="00484ABE">
        <w:t xml:space="preserve"> </w:t>
      </w:r>
      <w:r w:rsidR="00951F36">
        <w:t xml:space="preserve">some </w:t>
      </w:r>
      <w:r w:rsidR="00484ABE" w:rsidRPr="00BF55C1">
        <w:t>R</w:t>
      </w:r>
      <w:r w:rsidR="00484ABE">
        <w:t>s 98.8 million were already time barred. N</w:t>
      </w:r>
      <w:r w:rsidR="00484ABE" w:rsidRPr="00BF55C1">
        <w:t xml:space="preserve">o written </w:t>
      </w:r>
      <w:r w:rsidR="00484ABE" w:rsidRPr="00846426">
        <w:t>off exercise ha</w:t>
      </w:r>
      <w:r w:rsidR="00484ABE">
        <w:t>s</w:t>
      </w:r>
      <w:r w:rsidR="00484ABE" w:rsidRPr="00846426">
        <w:t xml:space="preserve"> been carried out </w:t>
      </w:r>
      <w:r w:rsidR="00484ABE">
        <w:t xml:space="preserve">for these cases </w:t>
      </w:r>
      <w:r w:rsidR="00484ABE" w:rsidRPr="00846426">
        <w:t>since the past three years. Thus</w:t>
      </w:r>
      <w:r w:rsidR="00484ABE">
        <w:t>,</w:t>
      </w:r>
      <w:r w:rsidR="00484ABE" w:rsidRPr="00846426">
        <w:t xml:space="preserve"> the </w:t>
      </w:r>
      <w:r w:rsidR="00484ABE">
        <w:t xml:space="preserve">total </w:t>
      </w:r>
      <w:r w:rsidR="00484ABE" w:rsidRPr="00846426">
        <w:t>arrears of revenue figure</w:t>
      </w:r>
      <w:r w:rsidR="00484ABE">
        <w:t xml:space="preserve"> of </w:t>
      </w:r>
      <w:r w:rsidR="00484ABE" w:rsidRPr="00846426">
        <w:t>Rs 687.</w:t>
      </w:r>
      <w:r w:rsidR="00484ABE">
        <w:t>9</w:t>
      </w:r>
      <w:r w:rsidR="00484ABE" w:rsidRPr="00846426">
        <w:t xml:space="preserve"> million</w:t>
      </w:r>
      <w:r w:rsidR="00484ABE">
        <w:t xml:space="preserve"> as of </w:t>
      </w:r>
      <w:r w:rsidR="00484ABE" w:rsidRPr="00846426">
        <w:t>30 June 2017 ha</w:t>
      </w:r>
      <w:r w:rsidR="00484ABE">
        <w:t>s</w:t>
      </w:r>
      <w:r w:rsidR="00484ABE" w:rsidRPr="00846426">
        <w:t xml:space="preserve"> been </w:t>
      </w:r>
      <w:r w:rsidR="00484ABE">
        <w:t>over</w:t>
      </w:r>
      <w:r w:rsidR="00484ABE" w:rsidRPr="00846426">
        <w:t>stated.</w:t>
      </w:r>
      <w:r w:rsidR="003C3E99">
        <w:t xml:space="preserve"> </w:t>
      </w:r>
      <w:r w:rsidR="004A710B">
        <w:t>For instance</w:t>
      </w:r>
      <w:r w:rsidR="00951F36">
        <w:t>,</w:t>
      </w:r>
      <w:r w:rsidR="004A710B">
        <w:t xml:space="preserve"> </w:t>
      </w:r>
      <w:r w:rsidR="00484ABE" w:rsidRPr="00997904">
        <w:t xml:space="preserve">29,533 T-shirts </w:t>
      </w:r>
      <w:r w:rsidR="00484ABE">
        <w:t>for a total amount of</w:t>
      </w:r>
      <w:r w:rsidR="00484ABE" w:rsidRPr="00997904">
        <w:t xml:space="preserve"> Rs 776,570</w:t>
      </w:r>
      <w:r w:rsidR="00484ABE">
        <w:t>,</w:t>
      </w:r>
      <w:r w:rsidR="00484ABE" w:rsidRPr="00997904">
        <w:t xml:space="preserve"> were missing from Bonded Warehouse since 2008. The case </w:t>
      </w:r>
      <w:r w:rsidR="00484ABE">
        <w:t>was</w:t>
      </w:r>
      <w:r w:rsidR="00484ABE" w:rsidRPr="00997904">
        <w:t xml:space="preserve"> time barred since 6 January 2013</w:t>
      </w:r>
      <w:r w:rsidR="00484ABE">
        <w:t>.</w:t>
      </w:r>
    </w:p>
    <w:p w:rsidR="00484ABE" w:rsidRDefault="00484ABE" w:rsidP="0087025F">
      <w:pPr>
        <w:spacing w:after="0" w:line="240" w:lineRule="auto"/>
        <w:ind w:hanging="360"/>
        <w:jc w:val="both"/>
        <w:rPr>
          <w:bCs/>
          <w:szCs w:val="24"/>
        </w:rPr>
      </w:pPr>
    </w:p>
    <w:p w:rsidR="00484ABE" w:rsidRPr="004F4E66" w:rsidRDefault="00484ABE" w:rsidP="00B628CB">
      <w:pPr>
        <w:pStyle w:val="ListParagraph"/>
        <w:numPr>
          <w:ilvl w:val="0"/>
          <w:numId w:val="24"/>
        </w:numPr>
        <w:spacing w:after="0" w:line="240" w:lineRule="auto"/>
        <w:ind w:left="360"/>
        <w:jc w:val="both"/>
        <w:rPr>
          <w:bCs/>
        </w:rPr>
      </w:pPr>
      <w:r w:rsidRPr="004F4E66">
        <w:lastRenderedPageBreak/>
        <w:t xml:space="preserve">At paragraph 7.6.2 of the Audit Report </w:t>
      </w:r>
      <w:r>
        <w:t xml:space="preserve">for the 18-month period 1 January 2015 to </w:t>
      </w:r>
      <w:r w:rsidR="006D14DB">
        <w:br/>
      </w:r>
      <w:r>
        <w:t xml:space="preserve">30 June </w:t>
      </w:r>
      <w:r w:rsidRPr="004F4E66">
        <w:t>2016, mention was made</w:t>
      </w:r>
      <w:r>
        <w:t xml:space="preserve"> that a</w:t>
      </w:r>
      <w:r w:rsidRPr="00846426">
        <w:t xml:space="preserve"> claim </w:t>
      </w:r>
      <w:r>
        <w:t xml:space="preserve">for an amount </w:t>
      </w:r>
      <w:r w:rsidRPr="00846426">
        <w:t>of Rs 48,922,714 was issued to</w:t>
      </w:r>
      <w:r>
        <w:t xml:space="preserve"> a Company f</w:t>
      </w:r>
      <w:r w:rsidRPr="00846426">
        <w:t xml:space="preserve">ollowing unlawful removal of goods from Bonded Warehouse in August 2007. Due to lengthy processing time, </w:t>
      </w:r>
      <w:r>
        <w:t xml:space="preserve">the claim was </w:t>
      </w:r>
      <w:r w:rsidRPr="00846426">
        <w:t xml:space="preserve">time barred in 2014. </w:t>
      </w:r>
      <w:r>
        <w:t>A</w:t>
      </w:r>
      <w:r w:rsidRPr="00846426">
        <w:t xml:space="preserve"> COR was </w:t>
      </w:r>
      <w:r>
        <w:t xml:space="preserve">thereafter </w:t>
      </w:r>
      <w:r w:rsidRPr="00846426">
        <w:t xml:space="preserve">issued on 16 January 2015 and the case was referred to </w:t>
      </w:r>
      <w:r>
        <w:t xml:space="preserve">the </w:t>
      </w:r>
      <w:r w:rsidRPr="00846426">
        <w:t>Office of D</w:t>
      </w:r>
      <w:r>
        <w:t>irector of Public Prosecutions</w:t>
      </w:r>
      <w:r w:rsidRPr="00846426">
        <w:t xml:space="preserve"> </w:t>
      </w:r>
      <w:r w:rsidR="004A710B">
        <w:t xml:space="preserve">(DPP) </w:t>
      </w:r>
      <w:r w:rsidRPr="00846426">
        <w:t>on 7 December 2016</w:t>
      </w:r>
      <w:r>
        <w:t>, nine years after the offence</w:t>
      </w:r>
      <w:r w:rsidRPr="00846426">
        <w:t>. Meanwhile,</w:t>
      </w:r>
      <w:r w:rsidRPr="004F4E66">
        <w:rPr>
          <w:lang w:val="en-GB" w:eastAsia="en-GB"/>
        </w:rPr>
        <w:t xml:space="preserve"> the Company had gone into receivership. </w:t>
      </w:r>
    </w:p>
    <w:p w:rsidR="00484ABE" w:rsidRPr="00846426" w:rsidRDefault="00484ABE" w:rsidP="0087025F">
      <w:pPr>
        <w:pStyle w:val="ListParagraph"/>
        <w:spacing w:after="0" w:line="240" w:lineRule="auto"/>
        <w:ind w:left="0" w:hanging="360"/>
        <w:jc w:val="both"/>
        <w:rPr>
          <w:bCs/>
        </w:rPr>
      </w:pPr>
    </w:p>
    <w:p w:rsidR="00484ABE" w:rsidRDefault="00484ABE" w:rsidP="00B628CB">
      <w:pPr>
        <w:pStyle w:val="ListParagraph"/>
        <w:numPr>
          <w:ilvl w:val="0"/>
          <w:numId w:val="24"/>
        </w:numPr>
        <w:tabs>
          <w:tab w:val="left" w:pos="90"/>
        </w:tabs>
        <w:spacing w:after="0" w:line="240" w:lineRule="auto"/>
        <w:ind w:left="360"/>
        <w:jc w:val="both"/>
      </w:pPr>
      <w:r w:rsidRPr="00461361">
        <w:t xml:space="preserve">Three time barred cases </w:t>
      </w:r>
      <w:proofErr w:type="spellStart"/>
      <w:r w:rsidRPr="00461361">
        <w:t>totalling</w:t>
      </w:r>
      <w:proofErr w:type="spellEnd"/>
      <w:r w:rsidRPr="00461361">
        <w:t xml:space="preserve"> </w:t>
      </w:r>
      <w:r w:rsidRPr="004F4E66">
        <w:t>Rs 3,160,427</w:t>
      </w:r>
      <w:r w:rsidRPr="00461361">
        <w:t>, inclusive of</w:t>
      </w:r>
      <w:r>
        <w:t xml:space="preserve"> annual interest of </w:t>
      </w:r>
      <w:r w:rsidR="006D14DB">
        <w:br/>
      </w:r>
      <w:r w:rsidRPr="004F4E66">
        <w:t>Rs 94,762</w:t>
      </w:r>
      <w:r>
        <w:t>,</w:t>
      </w:r>
      <w:r w:rsidRPr="004F4E66">
        <w:t xml:space="preserve"> </w:t>
      </w:r>
      <w:r w:rsidRPr="00461361">
        <w:t xml:space="preserve">were </w:t>
      </w:r>
      <w:r>
        <w:t xml:space="preserve">wrongly </w:t>
      </w:r>
      <w:r w:rsidRPr="00461361">
        <w:t>classified as collectible debts and accounted for in the</w:t>
      </w:r>
      <w:r w:rsidRPr="00BF55C1">
        <w:t xml:space="preserve"> </w:t>
      </w:r>
      <w:r w:rsidRPr="00846426">
        <w:t>Treasury Statement of Arrears of Revenue</w:t>
      </w:r>
      <w:r w:rsidRPr="00461361">
        <w:t xml:space="preserve"> as </w:t>
      </w:r>
      <w:r>
        <w:t>at</w:t>
      </w:r>
      <w:r w:rsidRPr="00461361">
        <w:t xml:space="preserve"> 30 June 2017. </w:t>
      </w:r>
    </w:p>
    <w:p w:rsidR="00285264" w:rsidRPr="00461361" w:rsidRDefault="00285264" w:rsidP="00285264">
      <w:pPr>
        <w:tabs>
          <w:tab w:val="left" w:pos="90"/>
        </w:tabs>
        <w:spacing w:after="0" w:line="240" w:lineRule="auto"/>
        <w:jc w:val="both"/>
      </w:pPr>
    </w:p>
    <w:p w:rsidR="00484ABE" w:rsidRPr="00125AF3" w:rsidRDefault="00484ABE" w:rsidP="00484ABE">
      <w:pPr>
        <w:spacing w:after="0" w:line="240" w:lineRule="auto"/>
        <w:jc w:val="both"/>
        <w:rPr>
          <w:i/>
          <w:szCs w:val="24"/>
        </w:rPr>
      </w:pPr>
      <w:r w:rsidRPr="00125AF3">
        <w:rPr>
          <w:i/>
          <w:szCs w:val="24"/>
        </w:rPr>
        <w:t>Court Cases</w:t>
      </w:r>
    </w:p>
    <w:p w:rsidR="00484ABE" w:rsidRPr="00FE0FC1" w:rsidRDefault="00484ABE" w:rsidP="00484ABE">
      <w:pPr>
        <w:spacing w:after="0" w:line="240" w:lineRule="auto"/>
        <w:jc w:val="both"/>
        <w:rPr>
          <w:szCs w:val="24"/>
        </w:rPr>
      </w:pPr>
    </w:p>
    <w:p w:rsidR="00484ABE" w:rsidRPr="00FE0FC1" w:rsidRDefault="00484ABE" w:rsidP="00484ABE">
      <w:pPr>
        <w:spacing w:after="0" w:line="240" w:lineRule="auto"/>
        <w:jc w:val="both"/>
        <w:rPr>
          <w:szCs w:val="24"/>
        </w:rPr>
      </w:pPr>
      <w:r w:rsidRPr="00FE0FC1">
        <w:rPr>
          <w:szCs w:val="24"/>
        </w:rPr>
        <w:t xml:space="preserve">As of 30 June 2017, </w:t>
      </w:r>
      <w:r w:rsidRPr="009B2D83">
        <w:rPr>
          <w:szCs w:val="24"/>
        </w:rPr>
        <w:t xml:space="preserve">debts </w:t>
      </w:r>
      <w:proofErr w:type="spellStart"/>
      <w:r w:rsidRPr="009B2D83">
        <w:rPr>
          <w:szCs w:val="24"/>
        </w:rPr>
        <w:t>tota</w:t>
      </w:r>
      <w:r>
        <w:rPr>
          <w:szCs w:val="24"/>
        </w:rPr>
        <w:t>l</w:t>
      </w:r>
      <w:r w:rsidRPr="009B2D83">
        <w:rPr>
          <w:szCs w:val="24"/>
        </w:rPr>
        <w:t>ling</w:t>
      </w:r>
      <w:proofErr w:type="spellEnd"/>
      <w:r w:rsidRPr="009B2D83">
        <w:rPr>
          <w:szCs w:val="24"/>
        </w:rPr>
        <w:t xml:space="preserve"> Rs 68,795,377 in respect of 39 cases</w:t>
      </w:r>
      <w:r>
        <w:rPr>
          <w:szCs w:val="24"/>
        </w:rPr>
        <w:t xml:space="preserve">, relating to period 1998 to 2016, were referred to </w:t>
      </w:r>
      <w:r w:rsidR="00951F36">
        <w:rPr>
          <w:szCs w:val="24"/>
        </w:rPr>
        <w:t xml:space="preserve">Court. There was no evidence </w:t>
      </w:r>
      <w:r w:rsidRPr="00FE0FC1">
        <w:rPr>
          <w:szCs w:val="24"/>
        </w:rPr>
        <w:t xml:space="preserve">that follow up was done </w:t>
      </w:r>
      <w:r>
        <w:rPr>
          <w:szCs w:val="24"/>
        </w:rPr>
        <w:t>for</w:t>
      </w:r>
      <w:r w:rsidRPr="00FE0FC1">
        <w:rPr>
          <w:szCs w:val="24"/>
        </w:rPr>
        <w:t xml:space="preserve"> these cases</w:t>
      </w:r>
      <w:r>
        <w:rPr>
          <w:szCs w:val="24"/>
        </w:rPr>
        <w:t xml:space="preserve"> until</w:t>
      </w:r>
      <w:r w:rsidRPr="00FE0FC1">
        <w:rPr>
          <w:szCs w:val="24"/>
        </w:rPr>
        <w:t xml:space="preserve"> </w:t>
      </w:r>
      <w:r>
        <w:rPr>
          <w:szCs w:val="24"/>
        </w:rPr>
        <w:t xml:space="preserve">20 December 2016, when an enquiry was made with the Police Department. As per the latter’s </w:t>
      </w:r>
      <w:r w:rsidRPr="00FE0FC1">
        <w:rPr>
          <w:szCs w:val="24"/>
        </w:rPr>
        <w:t>reply dated 18 January 2017,</w:t>
      </w:r>
      <w:r>
        <w:rPr>
          <w:szCs w:val="24"/>
        </w:rPr>
        <w:t xml:space="preserve"> the status was</w:t>
      </w:r>
      <w:r w:rsidR="009B3218">
        <w:rPr>
          <w:szCs w:val="24"/>
        </w:rPr>
        <w:t xml:space="preserve"> as shown in Table 6-1</w:t>
      </w:r>
      <w:r w:rsidR="00CA4A50">
        <w:rPr>
          <w:szCs w:val="24"/>
        </w:rPr>
        <w:t>5</w:t>
      </w:r>
      <w:r w:rsidRPr="00FE0FC1">
        <w:rPr>
          <w:szCs w:val="24"/>
        </w:rPr>
        <w:t xml:space="preserve">. </w:t>
      </w:r>
    </w:p>
    <w:p w:rsidR="00484ABE" w:rsidRPr="00FE0FC1" w:rsidRDefault="00484ABE" w:rsidP="00484ABE">
      <w:pPr>
        <w:tabs>
          <w:tab w:val="left" w:pos="914"/>
        </w:tabs>
        <w:spacing w:after="0" w:line="240" w:lineRule="auto"/>
        <w:jc w:val="both"/>
        <w:rPr>
          <w:szCs w:val="24"/>
        </w:rPr>
      </w:pPr>
    </w:p>
    <w:p w:rsidR="00484ABE" w:rsidRDefault="009B3218" w:rsidP="00285264">
      <w:pPr>
        <w:tabs>
          <w:tab w:val="left" w:pos="914"/>
        </w:tabs>
        <w:spacing w:after="0" w:line="240" w:lineRule="auto"/>
        <w:jc w:val="center"/>
        <w:rPr>
          <w:i/>
          <w:szCs w:val="24"/>
        </w:rPr>
      </w:pPr>
      <w:r>
        <w:rPr>
          <w:i/>
          <w:szCs w:val="24"/>
        </w:rPr>
        <w:t xml:space="preserve">Table </w:t>
      </w:r>
      <w:bookmarkStart w:id="15" w:name="_Hlk507250315"/>
      <w:r>
        <w:rPr>
          <w:i/>
          <w:szCs w:val="24"/>
        </w:rPr>
        <w:t>6-</w:t>
      </w:r>
      <w:proofErr w:type="gramStart"/>
      <w:r>
        <w:rPr>
          <w:i/>
          <w:szCs w:val="24"/>
        </w:rPr>
        <w:t>1</w:t>
      </w:r>
      <w:r w:rsidR="00CA4A50">
        <w:rPr>
          <w:i/>
          <w:szCs w:val="24"/>
        </w:rPr>
        <w:t>5</w:t>
      </w:r>
      <w:r w:rsidR="00D67A2B">
        <w:rPr>
          <w:i/>
          <w:szCs w:val="24"/>
        </w:rPr>
        <w:t xml:space="preserve">  </w:t>
      </w:r>
      <w:r w:rsidR="00484ABE" w:rsidRPr="00FE0FC1">
        <w:rPr>
          <w:i/>
          <w:szCs w:val="24"/>
        </w:rPr>
        <w:t>Status</w:t>
      </w:r>
      <w:proofErr w:type="gramEnd"/>
      <w:r w:rsidR="00484ABE" w:rsidRPr="00FE0FC1">
        <w:rPr>
          <w:i/>
          <w:szCs w:val="24"/>
        </w:rPr>
        <w:t xml:space="preserve"> of Court cases</w:t>
      </w:r>
      <w:bookmarkEnd w:id="15"/>
    </w:p>
    <w:p w:rsidR="00285264" w:rsidRDefault="00285264" w:rsidP="00285264">
      <w:pPr>
        <w:tabs>
          <w:tab w:val="left" w:pos="914"/>
        </w:tabs>
        <w:spacing w:after="0" w:line="240" w:lineRule="auto"/>
        <w:rPr>
          <w:i/>
          <w:szCs w:val="24"/>
        </w:rPr>
      </w:pPr>
    </w:p>
    <w:p w:rsidR="00195052" w:rsidRPr="00FE0FC1" w:rsidRDefault="00195052" w:rsidP="00195052">
      <w:pPr>
        <w:pBdr>
          <w:top w:val="single" w:sz="4" w:space="1" w:color="auto"/>
        </w:pBdr>
        <w:tabs>
          <w:tab w:val="left" w:pos="914"/>
        </w:tabs>
        <w:spacing w:after="0" w:line="240" w:lineRule="auto"/>
        <w:rPr>
          <w:i/>
          <w:szCs w:val="24"/>
        </w:rPr>
      </w:pP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1257"/>
        <w:gridCol w:w="1828"/>
      </w:tblGrid>
      <w:tr w:rsidR="00484ABE" w:rsidRPr="00FE0FC1" w:rsidTr="00195052">
        <w:trPr>
          <w:trHeight w:val="599"/>
          <w:jc w:val="center"/>
        </w:trPr>
        <w:tc>
          <w:tcPr>
            <w:tcW w:w="3351" w:type="dxa"/>
            <w:tcMar>
              <w:bottom w:w="142" w:type="dxa"/>
            </w:tcMar>
          </w:tcPr>
          <w:p w:rsidR="00484ABE" w:rsidRPr="00FE0FC1" w:rsidRDefault="00484ABE" w:rsidP="00DE55AE">
            <w:pPr>
              <w:spacing w:before="60"/>
              <w:rPr>
                <w:rFonts w:ascii="Times New Roman" w:hAnsi="Times New Roman"/>
                <w:b/>
                <w:sz w:val="24"/>
                <w:szCs w:val="24"/>
              </w:rPr>
            </w:pPr>
            <w:r w:rsidRPr="00FE0FC1">
              <w:rPr>
                <w:rFonts w:ascii="Times New Roman" w:hAnsi="Times New Roman"/>
                <w:b/>
                <w:sz w:val="24"/>
                <w:szCs w:val="24"/>
              </w:rPr>
              <w:t>Detail</w:t>
            </w:r>
          </w:p>
        </w:tc>
        <w:tc>
          <w:tcPr>
            <w:tcW w:w="1257" w:type="dxa"/>
            <w:tcMar>
              <w:bottom w:w="142" w:type="dxa"/>
            </w:tcMar>
          </w:tcPr>
          <w:p w:rsidR="00484ABE" w:rsidRPr="00FE0FC1" w:rsidRDefault="00484ABE" w:rsidP="00794249">
            <w:pPr>
              <w:spacing w:before="60"/>
              <w:jc w:val="center"/>
              <w:rPr>
                <w:rFonts w:ascii="Times New Roman" w:hAnsi="Times New Roman"/>
                <w:b/>
                <w:sz w:val="24"/>
                <w:szCs w:val="24"/>
              </w:rPr>
            </w:pPr>
            <w:r w:rsidRPr="00FE0FC1">
              <w:rPr>
                <w:rFonts w:ascii="Times New Roman" w:hAnsi="Times New Roman"/>
                <w:b/>
                <w:sz w:val="24"/>
                <w:szCs w:val="24"/>
              </w:rPr>
              <w:t>No. of cases</w:t>
            </w:r>
          </w:p>
        </w:tc>
        <w:tc>
          <w:tcPr>
            <w:tcW w:w="1828" w:type="dxa"/>
            <w:tcMar>
              <w:bottom w:w="142" w:type="dxa"/>
            </w:tcMar>
          </w:tcPr>
          <w:p w:rsidR="00484ABE" w:rsidRPr="00FE0FC1" w:rsidRDefault="00484ABE" w:rsidP="00794249">
            <w:pPr>
              <w:spacing w:before="60"/>
              <w:jc w:val="center"/>
              <w:rPr>
                <w:rFonts w:ascii="Times New Roman" w:hAnsi="Times New Roman"/>
                <w:b/>
                <w:sz w:val="24"/>
                <w:szCs w:val="24"/>
              </w:rPr>
            </w:pPr>
            <w:r w:rsidRPr="00FE0FC1">
              <w:rPr>
                <w:rFonts w:ascii="Times New Roman" w:hAnsi="Times New Roman"/>
                <w:b/>
                <w:sz w:val="24"/>
                <w:szCs w:val="24"/>
              </w:rPr>
              <w:t>Amount</w:t>
            </w:r>
          </w:p>
          <w:p w:rsidR="00484ABE" w:rsidRPr="00FE0FC1" w:rsidRDefault="00484ABE" w:rsidP="00794249">
            <w:pPr>
              <w:spacing w:before="60"/>
              <w:jc w:val="center"/>
              <w:rPr>
                <w:rFonts w:ascii="Times New Roman" w:hAnsi="Times New Roman"/>
                <w:b/>
                <w:sz w:val="24"/>
                <w:szCs w:val="24"/>
              </w:rPr>
            </w:pPr>
            <w:r w:rsidRPr="00FE0FC1">
              <w:rPr>
                <w:rFonts w:ascii="Times New Roman" w:hAnsi="Times New Roman"/>
                <w:b/>
                <w:sz w:val="24"/>
                <w:szCs w:val="24"/>
              </w:rPr>
              <w:t>(Rs)</w:t>
            </w:r>
          </w:p>
        </w:tc>
      </w:tr>
      <w:tr w:rsidR="00484ABE" w:rsidRPr="00FE0FC1" w:rsidTr="00195052">
        <w:trPr>
          <w:trHeight w:val="20"/>
          <w:jc w:val="center"/>
        </w:trPr>
        <w:tc>
          <w:tcPr>
            <w:tcW w:w="3351" w:type="dxa"/>
            <w:tcMar>
              <w:bottom w:w="142" w:type="dxa"/>
            </w:tcMar>
          </w:tcPr>
          <w:p w:rsidR="00484ABE" w:rsidRPr="00FE0FC1" w:rsidRDefault="00484ABE" w:rsidP="00285264">
            <w:pPr>
              <w:jc w:val="both"/>
              <w:rPr>
                <w:rFonts w:ascii="Times New Roman" w:hAnsi="Times New Roman"/>
                <w:sz w:val="24"/>
                <w:szCs w:val="24"/>
              </w:rPr>
            </w:pPr>
            <w:r w:rsidRPr="00FE0FC1">
              <w:rPr>
                <w:rFonts w:ascii="Times New Roman" w:hAnsi="Times New Roman"/>
                <w:sz w:val="24"/>
                <w:szCs w:val="24"/>
              </w:rPr>
              <w:t>Accused fined at Court</w:t>
            </w:r>
          </w:p>
        </w:tc>
        <w:tc>
          <w:tcPr>
            <w:tcW w:w="1257" w:type="dxa"/>
            <w:tcMar>
              <w:bottom w:w="142" w:type="dxa"/>
            </w:tcMar>
          </w:tcPr>
          <w:p w:rsidR="00484ABE" w:rsidRPr="00FE0FC1" w:rsidRDefault="00484ABE" w:rsidP="00195052">
            <w:pPr>
              <w:ind w:left="-212" w:right="402"/>
              <w:jc w:val="right"/>
              <w:rPr>
                <w:rFonts w:ascii="Times New Roman" w:hAnsi="Times New Roman"/>
                <w:sz w:val="24"/>
                <w:szCs w:val="24"/>
              </w:rPr>
            </w:pPr>
            <w:r w:rsidRPr="00FE0FC1">
              <w:rPr>
                <w:rFonts w:ascii="Times New Roman" w:hAnsi="Times New Roman"/>
                <w:sz w:val="24"/>
                <w:szCs w:val="24"/>
              </w:rPr>
              <w:t>3</w:t>
            </w:r>
          </w:p>
        </w:tc>
        <w:tc>
          <w:tcPr>
            <w:tcW w:w="1828" w:type="dxa"/>
            <w:tcMar>
              <w:bottom w:w="142" w:type="dxa"/>
            </w:tcMar>
          </w:tcPr>
          <w:p w:rsidR="00484ABE" w:rsidRPr="00FE0FC1" w:rsidRDefault="00484ABE" w:rsidP="00195052">
            <w:pPr>
              <w:ind w:right="326"/>
              <w:jc w:val="right"/>
              <w:rPr>
                <w:rFonts w:ascii="Times New Roman" w:hAnsi="Times New Roman"/>
                <w:sz w:val="24"/>
                <w:szCs w:val="24"/>
              </w:rPr>
            </w:pPr>
            <w:r w:rsidRPr="00FE0FC1">
              <w:rPr>
                <w:rFonts w:ascii="Times New Roman" w:hAnsi="Times New Roman"/>
                <w:sz w:val="24"/>
                <w:szCs w:val="24"/>
              </w:rPr>
              <w:t>701,129</w:t>
            </w:r>
          </w:p>
        </w:tc>
      </w:tr>
      <w:tr w:rsidR="00484ABE" w:rsidRPr="00FE0FC1" w:rsidTr="00195052">
        <w:trPr>
          <w:trHeight w:val="20"/>
          <w:jc w:val="center"/>
        </w:trPr>
        <w:tc>
          <w:tcPr>
            <w:tcW w:w="3351" w:type="dxa"/>
            <w:tcMar>
              <w:bottom w:w="142" w:type="dxa"/>
            </w:tcMar>
          </w:tcPr>
          <w:p w:rsidR="00484ABE" w:rsidRPr="00FE0FC1" w:rsidRDefault="00484ABE" w:rsidP="00285264">
            <w:pPr>
              <w:jc w:val="both"/>
              <w:rPr>
                <w:rFonts w:ascii="Times New Roman" w:hAnsi="Times New Roman"/>
                <w:sz w:val="24"/>
                <w:szCs w:val="24"/>
              </w:rPr>
            </w:pPr>
            <w:r w:rsidRPr="00FE0FC1">
              <w:rPr>
                <w:rFonts w:ascii="Times New Roman" w:hAnsi="Times New Roman"/>
                <w:sz w:val="24"/>
                <w:szCs w:val="24"/>
              </w:rPr>
              <w:t>On Appeal</w:t>
            </w:r>
          </w:p>
        </w:tc>
        <w:tc>
          <w:tcPr>
            <w:tcW w:w="1257" w:type="dxa"/>
            <w:tcMar>
              <w:bottom w:w="142" w:type="dxa"/>
            </w:tcMar>
          </w:tcPr>
          <w:p w:rsidR="00484ABE" w:rsidRPr="00FE0FC1" w:rsidRDefault="00484ABE" w:rsidP="00195052">
            <w:pPr>
              <w:ind w:left="-212" w:right="402"/>
              <w:jc w:val="right"/>
              <w:rPr>
                <w:rFonts w:ascii="Times New Roman" w:hAnsi="Times New Roman"/>
                <w:sz w:val="24"/>
                <w:szCs w:val="24"/>
              </w:rPr>
            </w:pPr>
            <w:r w:rsidRPr="00FE0FC1">
              <w:rPr>
                <w:rFonts w:ascii="Times New Roman" w:hAnsi="Times New Roman"/>
                <w:sz w:val="24"/>
                <w:szCs w:val="24"/>
              </w:rPr>
              <w:t>2</w:t>
            </w:r>
          </w:p>
        </w:tc>
        <w:tc>
          <w:tcPr>
            <w:tcW w:w="1828" w:type="dxa"/>
            <w:tcMar>
              <w:bottom w:w="142" w:type="dxa"/>
            </w:tcMar>
          </w:tcPr>
          <w:p w:rsidR="00484ABE" w:rsidRPr="00FE0FC1" w:rsidRDefault="00484ABE" w:rsidP="00195052">
            <w:pPr>
              <w:ind w:right="326"/>
              <w:jc w:val="right"/>
              <w:rPr>
                <w:rFonts w:ascii="Times New Roman" w:hAnsi="Times New Roman"/>
                <w:sz w:val="24"/>
                <w:szCs w:val="24"/>
              </w:rPr>
            </w:pPr>
            <w:r w:rsidRPr="00FE0FC1">
              <w:rPr>
                <w:rFonts w:ascii="Times New Roman" w:hAnsi="Times New Roman"/>
                <w:sz w:val="24"/>
                <w:szCs w:val="24"/>
              </w:rPr>
              <w:t>9,521,589</w:t>
            </w:r>
          </w:p>
        </w:tc>
      </w:tr>
      <w:tr w:rsidR="00484ABE" w:rsidRPr="00FE0FC1" w:rsidTr="00195052">
        <w:trPr>
          <w:trHeight w:val="20"/>
          <w:jc w:val="center"/>
        </w:trPr>
        <w:tc>
          <w:tcPr>
            <w:tcW w:w="3351" w:type="dxa"/>
            <w:tcMar>
              <w:bottom w:w="142" w:type="dxa"/>
            </w:tcMar>
          </w:tcPr>
          <w:p w:rsidR="00484ABE" w:rsidRPr="00FE0FC1" w:rsidRDefault="00484ABE" w:rsidP="00285264">
            <w:pPr>
              <w:jc w:val="both"/>
              <w:rPr>
                <w:rFonts w:ascii="Times New Roman" w:hAnsi="Times New Roman"/>
                <w:sz w:val="24"/>
                <w:szCs w:val="24"/>
              </w:rPr>
            </w:pPr>
            <w:r w:rsidRPr="00FE0FC1">
              <w:rPr>
                <w:rFonts w:ascii="Times New Roman" w:hAnsi="Times New Roman"/>
                <w:sz w:val="24"/>
                <w:szCs w:val="24"/>
              </w:rPr>
              <w:t xml:space="preserve">Agreement in Court </w:t>
            </w:r>
          </w:p>
        </w:tc>
        <w:tc>
          <w:tcPr>
            <w:tcW w:w="1257" w:type="dxa"/>
            <w:tcMar>
              <w:bottom w:w="142" w:type="dxa"/>
            </w:tcMar>
          </w:tcPr>
          <w:p w:rsidR="00484ABE" w:rsidRPr="00FE0FC1" w:rsidRDefault="00484ABE" w:rsidP="00195052">
            <w:pPr>
              <w:ind w:left="-212" w:right="402"/>
              <w:jc w:val="right"/>
              <w:rPr>
                <w:rFonts w:ascii="Times New Roman" w:hAnsi="Times New Roman"/>
                <w:sz w:val="24"/>
                <w:szCs w:val="24"/>
              </w:rPr>
            </w:pPr>
            <w:r w:rsidRPr="00FE0FC1">
              <w:rPr>
                <w:rFonts w:ascii="Times New Roman" w:hAnsi="Times New Roman"/>
                <w:sz w:val="24"/>
                <w:szCs w:val="24"/>
              </w:rPr>
              <w:t>2</w:t>
            </w:r>
          </w:p>
        </w:tc>
        <w:tc>
          <w:tcPr>
            <w:tcW w:w="1828" w:type="dxa"/>
            <w:tcMar>
              <w:bottom w:w="142" w:type="dxa"/>
            </w:tcMar>
          </w:tcPr>
          <w:p w:rsidR="00484ABE" w:rsidRPr="00FE0FC1" w:rsidRDefault="00484ABE" w:rsidP="00195052">
            <w:pPr>
              <w:ind w:right="326"/>
              <w:jc w:val="right"/>
              <w:rPr>
                <w:rFonts w:ascii="Times New Roman" w:hAnsi="Times New Roman"/>
                <w:sz w:val="24"/>
                <w:szCs w:val="24"/>
              </w:rPr>
            </w:pPr>
            <w:r w:rsidRPr="00FE0FC1">
              <w:rPr>
                <w:rFonts w:ascii="Times New Roman" w:hAnsi="Times New Roman"/>
                <w:sz w:val="24"/>
                <w:szCs w:val="24"/>
              </w:rPr>
              <w:t>349,224</w:t>
            </w:r>
          </w:p>
        </w:tc>
      </w:tr>
      <w:tr w:rsidR="00484ABE" w:rsidRPr="00FE0FC1" w:rsidTr="00195052">
        <w:trPr>
          <w:trHeight w:val="20"/>
          <w:jc w:val="center"/>
        </w:trPr>
        <w:tc>
          <w:tcPr>
            <w:tcW w:w="3351" w:type="dxa"/>
            <w:tcMar>
              <w:bottom w:w="142" w:type="dxa"/>
            </w:tcMar>
          </w:tcPr>
          <w:p w:rsidR="00484ABE" w:rsidRPr="00FE0FC1" w:rsidRDefault="00484ABE" w:rsidP="00285264">
            <w:pPr>
              <w:jc w:val="both"/>
              <w:rPr>
                <w:rFonts w:ascii="Times New Roman" w:hAnsi="Times New Roman"/>
                <w:sz w:val="24"/>
                <w:szCs w:val="24"/>
              </w:rPr>
            </w:pPr>
            <w:r w:rsidRPr="00FE0FC1">
              <w:rPr>
                <w:rFonts w:ascii="Times New Roman" w:hAnsi="Times New Roman"/>
                <w:sz w:val="24"/>
                <w:szCs w:val="24"/>
              </w:rPr>
              <w:t>Disposal of goods in progress</w:t>
            </w:r>
          </w:p>
        </w:tc>
        <w:tc>
          <w:tcPr>
            <w:tcW w:w="1257" w:type="dxa"/>
            <w:tcMar>
              <w:bottom w:w="142" w:type="dxa"/>
            </w:tcMar>
          </w:tcPr>
          <w:p w:rsidR="00484ABE" w:rsidRPr="00FE0FC1" w:rsidRDefault="00484ABE" w:rsidP="00195052">
            <w:pPr>
              <w:ind w:left="-212" w:right="402"/>
              <w:jc w:val="right"/>
              <w:rPr>
                <w:rFonts w:ascii="Times New Roman" w:hAnsi="Times New Roman"/>
                <w:sz w:val="24"/>
                <w:szCs w:val="24"/>
              </w:rPr>
            </w:pPr>
            <w:r w:rsidRPr="00FE0FC1">
              <w:rPr>
                <w:rFonts w:ascii="Times New Roman" w:hAnsi="Times New Roman"/>
                <w:sz w:val="24"/>
                <w:szCs w:val="24"/>
              </w:rPr>
              <w:t>1</w:t>
            </w:r>
          </w:p>
        </w:tc>
        <w:tc>
          <w:tcPr>
            <w:tcW w:w="1828" w:type="dxa"/>
            <w:tcMar>
              <w:bottom w:w="142" w:type="dxa"/>
            </w:tcMar>
          </w:tcPr>
          <w:p w:rsidR="00484ABE" w:rsidRPr="00FE0FC1" w:rsidRDefault="00484ABE" w:rsidP="00195052">
            <w:pPr>
              <w:ind w:right="326"/>
              <w:jc w:val="right"/>
              <w:rPr>
                <w:rFonts w:ascii="Times New Roman" w:hAnsi="Times New Roman"/>
                <w:sz w:val="24"/>
                <w:szCs w:val="24"/>
              </w:rPr>
            </w:pPr>
            <w:r w:rsidRPr="00FE0FC1">
              <w:rPr>
                <w:rFonts w:ascii="Times New Roman" w:hAnsi="Times New Roman"/>
                <w:sz w:val="24"/>
                <w:szCs w:val="24"/>
              </w:rPr>
              <w:t>1,369,227</w:t>
            </w:r>
          </w:p>
        </w:tc>
      </w:tr>
      <w:tr w:rsidR="00484ABE" w:rsidRPr="00FE0FC1" w:rsidTr="00195052">
        <w:trPr>
          <w:trHeight w:val="20"/>
          <w:jc w:val="center"/>
        </w:trPr>
        <w:tc>
          <w:tcPr>
            <w:tcW w:w="3351" w:type="dxa"/>
            <w:tcMar>
              <w:bottom w:w="142" w:type="dxa"/>
            </w:tcMar>
          </w:tcPr>
          <w:p w:rsidR="00484ABE" w:rsidRPr="00FE0FC1" w:rsidRDefault="00484ABE" w:rsidP="00285264">
            <w:pPr>
              <w:jc w:val="both"/>
              <w:rPr>
                <w:rFonts w:ascii="Times New Roman" w:hAnsi="Times New Roman"/>
                <w:sz w:val="24"/>
                <w:szCs w:val="24"/>
              </w:rPr>
            </w:pPr>
            <w:r w:rsidRPr="00FE0FC1">
              <w:rPr>
                <w:rFonts w:ascii="Times New Roman" w:hAnsi="Times New Roman"/>
                <w:sz w:val="24"/>
                <w:szCs w:val="24"/>
              </w:rPr>
              <w:t>At Court</w:t>
            </w:r>
          </w:p>
        </w:tc>
        <w:tc>
          <w:tcPr>
            <w:tcW w:w="1257" w:type="dxa"/>
            <w:tcMar>
              <w:bottom w:w="142" w:type="dxa"/>
            </w:tcMar>
          </w:tcPr>
          <w:p w:rsidR="00484ABE" w:rsidRPr="00FE0FC1" w:rsidRDefault="00484ABE" w:rsidP="00195052">
            <w:pPr>
              <w:ind w:left="-212" w:right="402"/>
              <w:jc w:val="right"/>
              <w:rPr>
                <w:rFonts w:ascii="Times New Roman" w:hAnsi="Times New Roman"/>
                <w:sz w:val="24"/>
                <w:szCs w:val="24"/>
              </w:rPr>
            </w:pPr>
            <w:r w:rsidRPr="00FE0FC1">
              <w:rPr>
                <w:rFonts w:ascii="Times New Roman" w:hAnsi="Times New Roman"/>
                <w:sz w:val="24"/>
                <w:szCs w:val="24"/>
              </w:rPr>
              <w:t>31</w:t>
            </w:r>
          </w:p>
        </w:tc>
        <w:tc>
          <w:tcPr>
            <w:tcW w:w="1828" w:type="dxa"/>
            <w:tcMar>
              <w:bottom w:w="142" w:type="dxa"/>
            </w:tcMar>
          </w:tcPr>
          <w:p w:rsidR="00484ABE" w:rsidRPr="00FE0FC1" w:rsidRDefault="00484ABE" w:rsidP="00195052">
            <w:pPr>
              <w:ind w:right="326"/>
              <w:jc w:val="right"/>
              <w:rPr>
                <w:rFonts w:ascii="Times New Roman" w:hAnsi="Times New Roman"/>
                <w:sz w:val="24"/>
                <w:szCs w:val="24"/>
              </w:rPr>
            </w:pPr>
            <w:r w:rsidRPr="00FE0FC1">
              <w:rPr>
                <w:rFonts w:ascii="Times New Roman" w:hAnsi="Times New Roman"/>
                <w:sz w:val="24"/>
                <w:szCs w:val="24"/>
              </w:rPr>
              <w:t>56,854,208</w:t>
            </w:r>
          </w:p>
        </w:tc>
      </w:tr>
      <w:tr w:rsidR="00484ABE" w:rsidRPr="00FE0FC1" w:rsidTr="00195052">
        <w:trPr>
          <w:trHeight w:val="20"/>
          <w:jc w:val="center"/>
        </w:trPr>
        <w:tc>
          <w:tcPr>
            <w:tcW w:w="3351" w:type="dxa"/>
          </w:tcPr>
          <w:p w:rsidR="00484ABE" w:rsidRPr="00FE0FC1" w:rsidRDefault="00484ABE" w:rsidP="00285264">
            <w:pPr>
              <w:jc w:val="both"/>
              <w:rPr>
                <w:rFonts w:ascii="Times New Roman" w:hAnsi="Times New Roman"/>
                <w:b/>
                <w:sz w:val="24"/>
                <w:szCs w:val="24"/>
              </w:rPr>
            </w:pPr>
            <w:r w:rsidRPr="00FE0FC1">
              <w:rPr>
                <w:rFonts w:ascii="Times New Roman" w:hAnsi="Times New Roman"/>
                <w:b/>
                <w:sz w:val="24"/>
                <w:szCs w:val="24"/>
              </w:rPr>
              <w:t>Total</w:t>
            </w:r>
          </w:p>
        </w:tc>
        <w:tc>
          <w:tcPr>
            <w:tcW w:w="1257" w:type="dxa"/>
          </w:tcPr>
          <w:p w:rsidR="00484ABE" w:rsidRPr="00FE0FC1" w:rsidRDefault="00484ABE" w:rsidP="00195052">
            <w:pPr>
              <w:ind w:left="-212" w:right="402"/>
              <w:jc w:val="right"/>
              <w:rPr>
                <w:rFonts w:ascii="Times New Roman" w:hAnsi="Times New Roman"/>
                <w:b/>
                <w:sz w:val="24"/>
                <w:szCs w:val="24"/>
              </w:rPr>
            </w:pPr>
            <w:r w:rsidRPr="00FE0FC1">
              <w:rPr>
                <w:rFonts w:ascii="Times New Roman" w:hAnsi="Times New Roman"/>
                <w:b/>
                <w:sz w:val="24"/>
                <w:szCs w:val="24"/>
              </w:rPr>
              <w:t>39</w:t>
            </w:r>
          </w:p>
        </w:tc>
        <w:tc>
          <w:tcPr>
            <w:tcW w:w="1828" w:type="dxa"/>
          </w:tcPr>
          <w:p w:rsidR="00484ABE" w:rsidRPr="00FE0FC1" w:rsidRDefault="00484ABE" w:rsidP="00195052">
            <w:pPr>
              <w:ind w:right="326"/>
              <w:jc w:val="right"/>
              <w:rPr>
                <w:rFonts w:ascii="Times New Roman" w:hAnsi="Times New Roman"/>
                <w:b/>
                <w:sz w:val="24"/>
                <w:szCs w:val="24"/>
              </w:rPr>
            </w:pPr>
            <w:r w:rsidRPr="00FE0FC1">
              <w:rPr>
                <w:rFonts w:ascii="Times New Roman" w:hAnsi="Times New Roman"/>
                <w:b/>
                <w:sz w:val="24"/>
                <w:szCs w:val="24"/>
              </w:rPr>
              <w:t>68,795,377</w:t>
            </w:r>
          </w:p>
        </w:tc>
      </w:tr>
    </w:tbl>
    <w:p w:rsidR="00484ABE" w:rsidRDefault="00484ABE" w:rsidP="00195052">
      <w:pPr>
        <w:pBdr>
          <w:bottom w:val="single" w:sz="4" w:space="1" w:color="auto"/>
        </w:pBdr>
        <w:spacing w:after="0" w:line="240" w:lineRule="auto"/>
        <w:jc w:val="both"/>
        <w:rPr>
          <w:szCs w:val="24"/>
        </w:rPr>
      </w:pPr>
    </w:p>
    <w:p w:rsidR="00285264" w:rsidRPr="00FE0FC1" w:rsidRDefault="00285264" w:rsidP="00484ABE">
      <w:pPr>
        <w:spacing w:after="0" w:line="240" w:lineRule="auto"/>
        <w:jc w:val="both"/>
        <w:rPr>
          <w:szCs w:val="24"/>
        </w:rPr>
      </w:pPr>
    </w:p>
    <w:p w:rsidR="00484ABE" w:rsidRPr="00127C6E" w:rsidRDefault="00484ABE" w:rsidP="00484ABE">
      <w:pPr>
        <w:tabs>
          <w:tab w:val="left" w:pos="914"/>
        </w:tabs>
        <w:spacing w:after="0" w:line="240" w:lineRule="auto"/>
        <w:jc w:val="both"/>
        <w:rPr>
          <w:szCs w:val="24"/>
        </w:rPr>
      </w:pPr>
      <w:r w:rsidRPr="00127C6E">
        <w:rPr>
          <w:szCs w:val="24"/>
        </w:rPr>
        <w:t xml:space="preserve">Despite </w:t>
      </w:r>
      <w:r>
        <w:rPr>
          <w:szCs w:val="24"/>
        </w:rPr>
        <w:t>j</w:t>
      </w:r>
      <w:r w:rsidRPr="00127C6E">
        <w:rPr>
          <w:szCs w:val="24"/>
        </w:rPr>
        <w:t xml:space="preserve">udgment was already delivered since 2009 in respect of a debtor owing </w:t>
      </w:r>
      <w:r w:rsidR="00195052">
        <w:rPr>
          <w:szCs w:val="24"/>
        </w:rPr>
        <w:br/>
      </w:r>
      <w:r w:rsidRPr="00127C6E">
        <w:rPr>
          <w:szCs w:val="24"/>
        </w:rPr>
        <w:t xml:space="preserve">Rs 481,070, </w:t>
      </w:r>
      <w:r w:rsidRPr="003A7089">
        <w:rPr>
          <w:szCs w:val="24"/>
        </w:rPr>
        <w:t xml:space="preserve">it was only on 9 November 2017 that </w:t>
      </w:r>
      <w:r>
        <w:rPr>
          <w:szCs w:val="24"/>
        </w:rPr>
        <w:t>another</w:t>
      </w:r>
      <w:r w:rsidRPr="003A7089">
        <w:rPr>
          <w:szCs w:val="24"/>
        </w:rPr>
        <w:t xml:space="preserve"> follow up was done with the Police Department. </w:t>
      </w:r>
      <w:r>
        <w:rPr>
          <w:szCs w:val="24"/>
        </w:rPr>
        <w:t>T</w:t>
      </w:r>
      <w:r w:rsidRPr="00127C6E">
        <w:rPr>
          <w:szCs w:val="24"/>
        </w:rPr>
        <w:t xml:space="preserve">he case </w:t>
      </w:r>
      <w:r>
        <w:rPr>
          <w:szCs w:val="24"/>
        </w:rPr>
        <w:t>w</w:t>
      </w:r>
      <w:r w:rsidRPr="00127C6E">
        <w:rPr>
          <w:szCs w:val="24"/>
        </w:rPr>
        <w:t xml:space="preserve">as </w:t>
      </w:r>
      <w:r>
        <w:rPr>
          <w:szCs w:val="24"/>
        </w:rPr>
        <w:t xml:space="preserve">already </w:t>
      </w:r>
      <w:r w:rsidRPr="00127C6E">
        <w:rPr>
          <w:szCs w:val="24"/>
        </w:rPr>
        <w:t>time barred</w:t>
      </w:r>
      <w:r>
        <w:rPr>
          <w:szCs w:val="24"/>
        </w:rPr>
        <w:t>,</w:t>
      </w:r>
      <w:r w:rsidRPr="00127C6E">
        <w:rPr>
          <w:szCs w:val="24"/>
        </w:rPr>
        <w:t xml:space="preserve"> </w:t>
      </w:r>
      <w:r>
        <w:rPr>
          <w:szCs w:val="24"/>
        </w:rPr>
        <w:t>but was still appearing in the total arrears of revenue figure as of 30 June 2017</w:t>
      </w:r>
      <w:r w:rsidRPr="00127C6E">
        <w:rPr>
          <w:szCs w:val="24"/>
        </w:rPr>
        <w:t>.</w:t>
      </w:r>
    </w:p>
    <w:p w:rsidR="00484ABE" w:rsidRDefault="00484ABE" w:rsidP="00484ABE">
      <w:pPr>
        <w:tabs>
          <w:tab w:val="left" w:pos="914"/>
        </w:tabs>
        <w:spacing w:after="0" w:line="240" w:lineRule="auto"/>
        <w:jc w:val="both"/>
        <w:rPr>
          <w:szCs w:val="24"/>
        </w:rPr>
      </w:pPr>
    </w:p>
    <w:p w:rsidR="00484ABE" w:rsidRDefault="00484ABE" w:rsidP="00484ABE">
      <w:pPr>
        <w:tabs>
          <w:tab w:val="left" w:pos="914"/>
        </w:tabs>
        <w:spacing w:after="0" w:line="240" w:lineRule="auto"/>
        <w:jc w:val="both"/>
        <w:rPr>
          <w:b/>
          <w:i/>
          <w:szCs w:val="24"/>
        </w:rPr>
      </w:pPr>
      <w:r>
        <w:rPr>
          <w:b/>
          <w:i/>
          <w:szCs w:val="24"/>
        </w:rPr>
        <w:t>Recommendation</w:t>
      </w:r>
    </w:p>
    <w:p w:rsidR="00484ABE" w:rsidRPr="00C431B3" w:rsidRDefault="00484ABE" w:rsidP="00484ABE">
      <w:pPr>
        <w:spacing w:after="0" w:line="240" w:lineRule="auto"/>
        <w:jc w:val="both"/>
        <w:rPr>
          <w:i/>
          <w:szCs w:val="24"/>
        </w:rPr>
      </w:pPr>
    </w:p>
    <w:p w:rsidR="00195052" w:rsidRDefault="00484ABE" w:rsidP="00195052">
      <w:pPr>
        <w:pStyle w:val="ListParagraph"/>
        <w:spacing w:after="0" w:line="240" w:lineRule="auto"/>
        <w:ind w:left="0"/>
        <w:jc w:val="both"/>
        <w:rPr>
          <w:rFonts w:eastAsia="Times New Roman"/>
          <w:szCs w:val="24"/>
        </w:rPr>
      </w:pPr>
      <w:r w:rsidRPr="003E33C1">
        <w:rPr>
          <w:lang w:val="en-GB"/>
        </w:rPr>
        <w:t>There is a need to set up a Committee to review all “</w:t>
      </w:r>
      <w:r w:rsidRPr="003E33C1">
        <w:rPr>
          <w:i/>
          <w:lang w:val="en-GB"/>
        </w:rPr>
        <w:t>Pending Review</w:t>
      </w:r>
      <w:r w:rsidRPr="003E33C1">
        <w:rPr>
          <w:lang w:val="en-GB"/>
        </w:rPr>
        <w:t xml:space="preserve">” cases </w:t>
      </w:r>
      <w:r>
        <w:rPr>
          <w:lang w:val="en-GB"/>
        </w:rPr>
        <w:t xml:space="preserve">so as </w:t>
      </w:r>
      <w:r w:rsidRPr="003E33C1">
        <w:rPr>
          <w:lang w:val="en-GB"/>
        </w:rPr>
        <w:t xml:space="preserve">to clear the list of long outstanding debts and time barred cases. </w:t>
      </w:r>
      <w:r w:rsidRPr="003E33C1">
        <w:t xml:space="preserve">All avenues </w:t>
      </w:r>
      <w:r>
        <w:t xml:space="preserve">should </w:t>
      </w:r>
      <w:r w:rsidRPr="003E33C1">
        <w:t>be explored to recover maximum debts within reasonable time.</w:t>
      </w:r>
      <w:r w:rsidR="00195052">
        <w:rPr>
          <w:rFonts w:eastAsia="Times New Roman"/>
          <w:szCs w:val="24"/>
        </w:rPr>
        <w:br w:type="page"/>
      </w:r>
    </w:p>
    <w:p w:rsidR="00484ABE" w:rsidRPr="00B85700" w:rsidRDefault="00484ABE" w:rsidP="00484ABE">
      <w:pPr>
        <w:pStyle w:val="ListParagraph"/>
        <w:spacing w:after="0" w:line="240" w:lineRule="auto"/>
        <w:ind w:left="0"/>
        <w:jc w:val="both"/>
        <w:rPr>
          <w:b/>
          <w:i/>
        </w:rPr>
      </w:pPr>
      <w:r w:rsidRPr="00B85700">
        <w:rPr>
          <w:b/>
          <w:i/>
        </w:rPr>
        <w:lastRenderedPageBreak/>
        <w:t>Management’s Reply</w:t>
      </w:r>
    </w:p>
    <w:p w:rsidR="00484ABE" w:rsidRPr="008B6556" w:rsidRDefault="00484ABE" w:rsidP="00484ABE">
      <w:pPr>
        <w:pStyle w:val="ListParagraph"/>
        <w:spacing w:after="0" w:line="240" w:lineRule="auto"/>
        <w:ind w:left="-180" w:firstLine="270"/>
        <w:jc w:val="both"/>
        <w:rPr>
          <w:b/>
        </w:rPr>
      </w:pPr>
    </w:p>
    <w:p w:rsidR="004A710B" w:rsidRDefault="00484ABE" w:rsidP="00484ABE">
      <w:pPr>
        <w:pStyle w:val="ListParagraph"/>
        <w:tabs>
          <w:tab w:val="left" w:pos="360"/>
        </w:tabs>
        <w:spacing w:after="0" w:line="240" w:lineRule="auto"/>
        <w:ind w:left="0"/>
        <w:jc w:val="both"/>
      </w:pPr>
      <w:r w:rsidRPr="008B6556">
        <w:rPr>
          <w:lang w:val="en-GB"/>
        </w:rPr>
        <w:t>Internal Audit of the MRA is scrutini</w:t>
      </w:r>
      <w:r>
        <w:rPr>
          <w:lang w:val="en-GB"/>
        </w:rPr>
        <w:t>s</w:t>
      </w:r>
      <w:r w:rsidRPr="008B6556">
        <w:rPr>
          <w:lang w:val="en-GB"/>
        </w:rPr>
        <w:t>ing all these cases</w:t>
      </w:r>
      <w:r>
        <w:rPr>
          <w:lang w:val="en-GB"/>
        </w:rPr>
        <w:t>,</w:t>
      </w:r>
      <w:r w:rsidRPr="008B6556">
        <w:rPr>
          <w:lang w:val="en-GB"/>
        </w:rPr>
        <w:t xml:space="preserve"> as provided in the MRA Act. </w:t>
      </w:r>
      <w:r w:rsidRPr="008B6556">
        <w:t>On</w:t>
      </w:r>
      <w:r w:rsidRPr="008B6556">
        <w:rPr>
          <w:spacing w:val="11"/>
        </w:rPr>
        <w:t xml:space="preserve"> </w:t>
      </w:r>
      <w:r w:rsidRPr="008B6556">
        <w:t>15</w:t>
      </w:r>
      <w:r w:rsidRPr="008B6556">
        <w:rPr>
          <w:spacing w:val="10"/>
        </w:rPr>
        <w:t xml:space="preserve"> </w:t>
      </w:r>
      <w:r w:rsidRPr="008B6556">
        <w:t>D</w:t>
      </w:r>
      <w:r w:rsidRPr="008B6556">
        <w:rPr>
          <w:spacing w:val="-2"/>
        </w:rPr>
        <w:t>e</w:t>
      </w:r>
      <w:r w:rsidRPr="008B6556">
        <w:t>c</w:t>
      </w:r>
      <w:r w:rsidRPr="008B6556">
        <w:rPr>
          <w:spacing w:val="-2"/>
        </w:rPr>
        <w:t>e</w:t>
      </w:r>
      <w:r w:rsidRPr="008B6556">
        <w:t>m</w:t>
      </w:r>
      <w:r w:rsidRPr="008B6556">
        <w:rPr>
          <w:spacing w:val="-1"/>
        </w:rPr>
        <w:t>b</w:t>
      </w:r>
      <w:r w:rsidRPr="008B6556">
        <w:t>er</w:t>
      </w:r>
      <w:r w:rsidRPr="008B6556">
        <w:rPr>
          <w:spacing w:val="10"/>
        </w:rPr>
        <w:t xml:space="preserve"> </w:t>
      </w:r>
      <w:r w:rsidRPr="008B6556">
        <w:t>2</w:t>
      </w:r>
      <w:r w:rsidRPr="008B6556">
        <w:rPr>
          <w:spacing w:val="-2"/>
        </w:rPr>
        <w:t>0</w:t>
      </w:r>
      <w:r w:rsidRPr="008B6556">
        <w:t>17,</w:t>
      </w:r>
      <w:r w:rsidRPr="008B6556">
        <w:rPr>
          <w:spacing w:val="10"/>
        </w:rPr>
        <w:t xml:space="preserve"> </w:t>
      </w:r>
      <w:r w:rsidRPr="008B6556">
        <w:t>t</w:t>
      </w:r>
      <w:r w:rsidRPr="008B6556">
        <w:rPr>
          <w:spacing w:val="-3"/>
        </w:rPr>
        <w:t>h</w:t>
      </w:r>
      <w:r w:rsidRPr="008B6556">
        <w:t>e</w:t>
      </w:r>
      <w:r w:rsidRPr="008B6556">
        <w:rPr>
          <w:spacing w:val="13"/>
        </w:rPr>
        <w:t xml:space="preserve"> </w:t>
      </w:r>
      <w:r w:rsidRPr="008B6556">
        <w:t xml:space="preserve">Board </w:t>
      </w:r>
      <w:r>
        <w:t xml:space="preserve">of </w:t>
      </w:r>
      <w:r w:rsidRPr="008B6556">
        <w:t>MRA</w:t>
      </w:r>
      <w:r w:rsidRPr="008B6556">
        <w:rPr>
          <w:spacing w:val="9"/>
        </w:rPr>
        <w:t xml:space="preserve"> </w:t>
      </w:r>
      <w:r w:rsidRPr="008B6556">
        <w:rPr>
          <w:spacing w:val="-1"/>
        </w:rPr>
        <w:t>h</w:t>
      </w:r>
      <w:r w:rsidRPr="008B6556">
        <w:t>as</w:t>
      </w:r>
      <w:r w:rsidRPr="008B6556">
        <w:rPr>
          <w:spacing w:val="12"/>
        </w:rPr>
        <w:t xml:space="preserve"> </w:t>
      </w:r>
      <w:r w:rsidRPr="008B6556">
        <w:t>a</w:t>
      </w:r>
      <w:r w:rsidRPr="008B6556">
        <w:rPr>
          <w:spacing w:val="-1"/>
        </w:rPr>
        <w:t>pp</w:t>
      </w:r>
      <w:r w:rsidRPr="008B6556">
        <w:rPr>
          <w:spacing w:val="-3"/>
        </w:rPr>
        <w:t>r</w:t>
      </w:r>
      <w:r w:rsidRPr="008B6556">
        <w:rPr>
          <w:spacing w:val="1"/>
        </w:rPr>
        <w:t>o</w:t>
      </w:r>
      <w:r w:rsidRPr="008B6556">
        <w:rPr>
          <w:spacing w:val="-2"/>
        </w:rPr>
        <w:t>ve</w:t>
      </w:r>
      <w:r w:rsidRPr="008B6556">
        <w:t>d</w:t>
      </w:r>
      <w:r w:rsidRPr="008B6556">
        <w:rPr>
          <w:spacing w:val="11"/>
        </w:rPr>
        <w:t xml:space="preserve"> </w:t>
      </w:r>
      <w:r w:rsidRPr="008B6556">
        <w:t>the</w:t>
      </w:r>
      <w:r w:rsidRPr="008B6556">
        <w:rPr>
          <w:spacing w:val="12"/>
        </w:rPr>
        <w:t xml:space="preserve"> </w:t>
      </w:r>
      <w:r w:rsidRPr="008B6556">
        <w:t>writi</w:t>
      </w:r>
      <w:r w:rsidRPr="008B6556">
        <w:rPr>
          <w:spacing w:val="-1"/>
        </w:rPr>
        <w:t>n</w:t>
      </w:r>
      <w:r w:rsidRPr="008B6556">
        <w:t>g</w:t>
      </w:r>
      <w:r w:rsidRPr="008B6556">
        <w:rPr>
          <w:spacing w:val="9"/>
        </w:rPr>
        <w:t xml:space="preserve"> </w:t>
      </w:r>
      <w:r w:rsidRPr="008B6556">
        <w:rPr>
          <w:spacing w:val="1"/>
        </w:rPr>
        <w:t>o</w:t>
      </w:r>
      <w:r w:rsidRPr="008B6556">
        <w:t>ff</w:t>
      </w:r>
      <w:r w:rsidRPr="008B6556">
        <w:rPr>
          <w:spacing w:val="9"/>
        </w:rPr>
        <w:t xml:space="preserve"> </w:t>
      </w:r>
      <w:r w:rsidRPr="008B6556">
        <w:rPr>
          <w:spacing w:val="1"/>
        </w:rPr>
        <w:t>o</w:t>
      </w:r>
      <w:r w:rsidRPr="008B6556">
        <w:t>f</w:t>
      </w:r>
      <w:r w:rsidRPr="008B6556">
        <w:rPr>
          <w:spacing w:val="12"/>
        </w:rPr>
        <w:t xml:space="preserve"> </w:t>
      </w:r>
      <w:r w:rsidRPr="008B6556">
        <w:rPr>
          <w:spacing w:val="-2"/>
        </w:rPr>
        <w:t>2</w:t>
      </w:r>
      <w:r w:rsidRPr="008B6556">
        <w:t xml:space="preserve">56 </w:t>
      </w:r>
      <w:r w:rsidRPr="008B6556">
        <w:rPr>
          <w:spacing w:val="23"/>
        </w:rPr>
        <w:t>cases</w:t>
      </w:r>
      <w:r w:rsidRPr="008B6556">
        <w:rPr>
          <w:spacing w:val="13"/>
        </w:rPr>
        <w:t xml:space="preserve"> </w:t>
      </w:r>
      <w:r>
        <w:rPr>
          <w:spacing w:val="13"/>
        </w:rPr>
        <w:t xml:space="preserve">for a total </w:t>
      </w:r>
      <w:r w:rsidRPr="008B6556">
        <w:rPr>
          <w:spacing w:val="-3"/>
        </w:rPr>
        <w:t>a</w:t>
      </w:r>
      <w:r w:rsidRPr="008B6556">
        <w:t>m</w:t>
      </w:r>
      <w:r w:rsidRPr="008B6556">
        <w:rPr>
          <w:spacing w:val="1"/>
        </w:rPr>
        <w:t>o</w:t>
      </w:r>
      <w:r w:rsidRPr="008B6556">
        <w:t>u</w:t>
      </w:r>
      <w:r w:rsidRPr="008B6556">
        <w:rPr>
          <w:spacing w:val="-2"/>
        </w:rPr>
        <w:t>n</w:t>
      </w:r>
      <w:r w:rsidRPr="008B6556">
        <w:rPr>
          <w:spacing w:val="-1"/>
        </w:rPr>
        <w:t>t</w:t>
      </w:r>
      <w:r>
        <w:rPr>
          <w:spacing w:val="-1"/>
        </w:rPr>
        <w:t xml:space="preserve"> of</w:t>
      </w:r>
      <w:r w:rsidRPr="008B6556">
        <w:rPr>
          <w:spacing w:val="13"/>
        </w:rPr>
        <w:t xml:space="preserve"> </w:t>
      </w:r>
      <w:r w:rsidRPr="008B6556">
        <w:t>Rs</w:t>
      </w:r>
      <w:r w:rsidRPr="008B6556">
        <w:rPr>
          <w:spacing w:val="10"/>
        </w:rPr>
        <w:t xml:space="preserve"> </w:t>
      </w:r>
      <w:r w:rsidRPr="008B6556">
        <w:rPr>
          <w:spacing w:val="-2"/>
        </w:rPr>
        <w:t>1</w:t>
      </w:r>
      <w:r w:rsidRPr="008B6556">
        <w:t>08</w:t>
      </w:r>
      <w:r w:rsidRPr="008B6556">
        <w:rPr>
          <w:spacing w:val="-3"/>
        </w:rPr>
        <w:t>,</w:t>
      </w:r>
      <w:r w:rsidRPr="008B6556">
        <w:rPr>
          <w:spacing w:val="-2"/>
        </w:rPr>
        <w:t>4</w:t>
      </w:r>
      <w:r w:rsidRPr="008B6556">
        <w:t>84</w:t>
      </w:r>
      <w:r w:rsidRPr="008B6556">
        <w:rPr>
          <w:spacing w:val="-3"/>
        </w:rPr>
        <w:t>,</w:t>
      </w:r>
      <w:r w:rsidRPr="008B6556">
        <w:t>4</w:t>
      </w:r>
      <w:r w:rsidRPr="008B6556">
        <w:rPr>
          <w:spacing w:val="-2"/>
        </w:rPr>
        <w:t>7</w:t>
      </w:r>
      <w:r w:rsidRPr="008B6556">
        <w:t>9</w:t>
      </w:r>
      <w:r w:rsidRPr="008B6556">
        <w:rPr>
          <w:spacing w:val="10"/>
        </w:rPr>
        <w:t xml:space="preserve"> </w:t>
      </w:r>
      <w:r w:rsidRPr="008B6556">
        <w:rPr>
          <w:spacing w:val="1"/>
        </w:rPr>
        <w:t>o</w:t>
      </w:r>
      <w:r w:rsidRPr="008B6556">
        <w:t>f C</w:t>
      </w:r>
      <w:r w:rsidRPr="008B6556">
        <w:rPr>
          <w:spacing w:val="-1"/>
        </w:rPr>
        <w:t>u</w:t>
      </w:r>
      <w:r w:rsidRPr="008B6556">
        <w:t>st</w:t>
      </w:r>
      <w:r w:rsidRPr="008B6556">
        <w:rPr>
          <w:spacing w:val="-1"/>
        </w:rPr>
        <w:t>o</w:t>
      </w:r>
      <w:r w:rsidRPr="008B6556">
        <w:t>ms</w:t>
      </w:r>
      <w:r w:rsidRPr="008B6556">
        <w:rPr>
          <w:spacing w:val="-2"/>
        </w:rPr>
        <w:t xml:space="preserve"> </w:t>
      </w:r>
      <w:r>
        <w:rPr>
          <w:spacing w:val="-2"/>
        </w:rPr>
        <w:t>d</w:t>
      </w:r>
      <w:r w:rsidRPr="008B6556">
        <w:t>ebts</w:t>
      </w:r>
      <w:r w:rsidRPr="008B6556">
        <w:rPr>
          <w:spacing w:val="-3"/>
        </w:rPr>
        <w:t xml:space="preserve"> </w:t>
      </w:r>
      <w:r w:rsidRPr="008B6556">
        <w:t>w</w:t>
      </w:r>
      <w:r w:rsidRPr="008B6556">
        <w:rPr>
          <w:spacing w:val="-1"/>
        </w:rPr>
        <w:t>h</w:t>
      </w:r>
      <w:r w:rsidRPr="008B6556">
        <w:t>ich</w:t>
      </w:r>
      <w:r w:rsidRPr="008B6556">
        <w:rPr>
          <w:spacing w:val="-1"/>
        </w:rPr>
        <w:t xml:space="preserve"> </w:t>
      </w:r>
      <w:r w:rsidR="00951F36">
        <w:t>have</w:t>
      </w:r>
      <w:r w:rsidRPr="008B6556">
        <w:rPr>
          <w:spacing w:val="-3"/>
        </w:rPr>
        <w:t xml:space="preserve"> b</w:t>
      </w:r>
      <w:r w:rsidRPr="008B6556">
        <w:t>ecome</w:t>
      </w:r>
      <w:r w:rsidRPr="008B6556">
        <w:rPr>
          <w:spacing w:val="-2"/>
        </w:rPr>
        <w:t xml:space="preserve"> </w:t>
      </w:r>
      <w:r w:rsidRPr="008B6556">
        <w:t>irre</w:t>
      </w:r>
      <w:r w:rsidRPr="008B6556">
        <w:rPr>
          <w:spacing w:val="-2"/>
        </w:rPr>
        <w:t>co</w:t>
      </w:r>
      <w:r w:rsidRPr="008B6556">
        <w:t>vera</w:t>
      </w:r>
      <w:r w:rsidRPr="008B6556">
        <w:rPr>
          <w:spacing w:val="-1"/>
        </w:rPr>
        <w:t>b</w:t>
      </w:r>
      <w:r w:rsidRPr="008B6556">
        <w:t>le.</w:t>
      </w:r>
    </w:p>
    <w:p w:rsidR="00040CAC" w:rsidRDefault="00040CAC" w:rsidP="00484ABE">
      <w:pPr>
        <w:pStyle w:val="ListParagraph"/>
        <w:tabs>
          <w:tab w:val="left" w:pos="360"/>
        </w:tabs>
        <w:spacing w:after="0" w:line="240" w:lineRule="auto"/>
        <w:ind w:left="0"/>
        <w:jc w:val="both"/>
      </w:pPr>
    </w:p>
    <w:p w:rsidR="00DC4E47" w:rsidRPr="00DC4E47" w:rsidRDefault="00DC4E47" w:rsidP="00DC4E47">
      <w:pPr>
        <w:autoSpaceDE w:val="0"/>
        <w:autoSpaceDN w:val="0"/>
        <w:adjustRightInd w:val="0"/>
        <w:spacing w:after="0" w:line="240" w:lineRule="auto"/>
        <w:jc w:val="both"/>
        <w:rPr>
          <w:szCs w:val="24"/>
          <w:lang w:val="en-GB"/>
        </w:rPr>
      </w:pPr>
      <w:r w:rsidRPr="00DC4E47">
        <w:rPr>
          <w:szCs w:val="24"/>
          <w:lang w:val="en-GB"/>
        </w:rPr>
        <w:t>Following the recommendation of the MRA Board, a Debt Review Committee has been set up to examine, review and recommend adjustment to Customs debt</w:t>
      </w:r>
      <w:r w:rsidR="004A710B">
        <w:rPr>
          <w:szCs w:val="24"/>
          <w:lang w:val="en-GB"/>
        </w:rPr>
        <w:t>s</w:t>
      </w:r>
      <w:r w:rsidRPr="00DC4E47">
        <w:rPr>
          <w:szCs w:val="24"/>
          <w:lang w:val="en-GB"/>
        </w:rPr>
        <w:t xml:space="preserve"> due to errors or lack of evidence for prosecution as determined by the Legal Services Department of the MRA. </w:t>
      </w:r>
    </w:p>
    <w:p w:rsidR="00484ABE" w:rsidRPr="00F46AD4" w:rsidRDefault="00484ABE" w:rsidP="00484ABE">
      <w:pPr>
        <w:spacing w:after="0" w:line="240" w:lineRule="auto"/>
        <w:jc w:val="both"/>
        <w:rPr>
          <w:lang w:val="en-GB"/>
        </w:rPr>
      </w:pPr>
    </w:p>
    <w:p w:rsidR="00484ABE" w:rsidRPr="00846426" w:rsidRDefault="00DE09C2" w:rsidP="00484ABE">
      <w:pPr>
        <w:spacing w:after="0" w:line="240" w:lineRule="auto"/>
        <w:jc w:val="both"/>
        <w:rPr>
          <w:b/>
          <w:i/>
          <w:szCs w:val="24"/>
        </w:rPr>
      </w:pPr>
      <w:r>
        <w:rPr>
          <w:b/>
          <w:i/>
          <w:szCs w:val="24"/>
        </w:rPr>
        <w:t>6.5</w:t>
      </w:r>
      <w:r w:rsidR="00484ABE">
        <w:rPr>
          <w:b/>
          <w:i/>
          <w:szCs w:val="24"/>
        </w:rPr>
        <w:t>.2</w:t>
      </w:r>
      <w:r w:rsidR="00484ABE">
        <w:rPr>
          <w:b/>
          <w:i/>
          <w:szCs w:val="24"/>
        </w:rPr>
        <w:tab/>
      </w:r>
      <w:r w:rsidR="00484ABE" w:rsidRPr="00846426">
        <w:rPr>
          <w:b/>
          <w:i/>
          <w:szCs w:val="24"/>
        </w:rPr>
        <w:t>Evasion of Duties and Taxes – Rs 33,983,974</w:t>
      </w:r>
    </w:p>
    <w:p w:rsidR="00484ABE" w:rsidRPr="00846426" w:rsidRDefault="00484ABE" w:rsidP="00484ABE">
      <w:pPr>
        <w:spacing w:after="0" w:line="240" w:lineRule="auto"/>
        <w:jc w:val="both"/>
        <w:rPr>
          <w:szCs w:val="24"/>
        </w:rPr>
      </w:pPr>
    </w:p>
    <w:p w:rsidR="00484ABE" w:rsidRPr="00230E83" w:rsidRDefault="00484ABE" w:rsidP="00484ABE">
      <w:pPr>
        <w:spacing w:after="0" w:line="240" w:lineRule="auto"/>
        <w:jc w:val="both"/>
        <w:rPr>
          <w:szCs w:val="24"/>
        </w:rPr>
      </w:pPr>
      <w:r>
        <w:rPr>
          <w:szCs w:val="24"/>
        </w:rPr>
        <w:t>12</w:t>
      </w:r>
      <w:r w:rsidRPr="00230E83">
        <w:rPr>
          <w:szCs w:val="24"/>
        </w:rPr>
        <w:t xml:space="preserve"> luxury cars were detained in Customs Warehouse since 2012 </w:t>
      </w:r>
      <w:r>
        <w:rPr>
          <w:szCs w:val="24"/>
        </w:rPr>
        <w:t>due to</w:t>
      </w:r>
      <w:r w:rsidRPr="00230E83">
        <w:rPr>
          <w:szCs w:val="24"/>
        </w:rPr>
        <w:t xml:space="preserve"> evasion of </w:t>
      </w:r>
      <w:r>
        <w:rPr>
          <w:szCs w:val="24"/>
        </w:rPr>
        <w:t>D</w:t>
      </w:r>
      <w:r w:rsidRPr="00230E83">
        <w:rPr>
          <w:szCs w:val="24"/>
        </w:rPr>
        <w:t xml:space="preserve">uties and </w:t>
      </w:r>
      <w:r>
        <w:rPr>
          <w:szCs w:val="24"/>
        </w:rPr>
        <w:t>T</w:t>
      </w:r>
      <w:r w:rsidRPr="00230E83">
        <w:rPr>
          <w:szCs w:val="24"/>
        </w:rPr>
        <w:t xml:space="preserve">axes </w:t>
      </w:r>
      <w:proofErr w:type="spellStart"/>
      <w:r w:rsidRPr="00230E83">
        <w:rPr>
          <w:szCs w:val="24"/>
        </w:rPr>
        <w:t>totalling</w:t>
      </w:r>
      <w:proofErr w:type="spellEnd"/>
      <w:r w:rsidRPr="00230E83">
        <w:rPr>
          <w:szCs w:val="24"/>
        </w:rPr>
        <w:t xml:space="preserve"> some Rs 33.9 million. </w:t>
      </w:r>
      <w:r>
        <w:rPr>
          <w:szCs w:val="24"/>
        </w:rPr>
        <w:t>CORs were raised</w:t>
      </w:r>
      <w:r w:rsidRPr="00230E83">
        <w:rPr>
          <w:szCs w:val="24"/>
        </w:rPr>
        <w:t xml:space="preserve"> during period 2012 to 2014 and </w:t>
      </w:r>
      <w:r>
        <w:rPr>
          <w:szCs w:val="24"/>
        </w:rPr>
        <w:t xml:space="preserve">they </w:t>
      </w:r>
      <w:r w:rsidRPr="00230E83">
        <w:rPr>
          <w:szCs w:val="24"/>
        </w:rPr>
        <w:t xml:space="preserve">were referred to </w:t>
      </w:r>
      <w:r>
        <w:rPr>
          <w:szCs w:val="24"/>
        </w:rPr>
        <w:t xml:space="preserve">the </w:t>
      </w:r>
      <w:r w:rsidRPr="00230E83">
        <w:rPr>
          <w:szCs w:val="24"/>
        </w:rPr>
        <w:t>Police</w:t>
      </w:r>
      <w:r>
        <w:rPr>
          <w:szCs w:val="24"/>
        </w:rPr>
        <w:t xml:space="preserve"> Department for prosecution. </w:t>
      </w:r>
      <w:r w:rsidRPr="00230E83">
        <w:rPr>
          <w:szCs w:val="24"/>
        </w:rPr>
        <w:t xml:space="preserve">Of the 12 cases, only three </w:t>
      </w:r>
      <w:r>
        <w:rPr>
          <w:szCs w:val="24"/>
        </w:rPr>
        <w:t xml:space="preserve">were </w:t>
      </w:r>
      <w:r w:rsidRPr="00230E83">
        <w:rPr>
          <w:szCs w:val="24"/>
        </w:rPr>
        <w:t>referred to Court whi</w:t>
      </w:r>
      <w:r>
        <w:rPr>
          <w:szCs w:val="24"/>
        </w:rPr>
        <w:t>le fo</w:t>
      </w:r>
      <w:r w:rsidR="00951F36">
        <w:rPr>
          <w:szCs w:val="24"/>
        </w:rPr>
        <w:t xml:space="preserve">r the remaining nine cases, </w:t>
      </w:r>
      <w:r w:rsidRPr="00230E83">
        <w:rPr>
          <w:szCs w:val="24"/>
        </w:rPr>
        <w:t>Police enquiry was still on-going.</w:t>
      </w:r>
    </w:p>
    <w:p w:rsidR="00794249" w:rsidRDefault="00794249" w:rsidP="00484ABE">
      <w:pPr>
        <w:spacing w:after="0" w:line="240" w:lineRule="auto"/>
        <w:contextualSpacing/>
        <w:jc w:val="both"/>
        <w:rPr>
          <w:rFonts w:eastAsia="Times New Roman"/>
          <w:szCs w:val="24"/>
        </w:rPr>
      </w:pPr>
    </w:p>
    <w:p w:rsidR="00484ABE" w:rsidRPr="00846426" w:rsidRDefault="00484ABE" w:rsidP="00484ABE">
      <w:pPr>
        <w:spacing w:after="0" w:line="240" w:lineRule="auto"/>
        <w:contextualSpacing/>
        <w:jc w:val="both"/>
        <w:rPr>
          <w:rFonts w:eastAsia="Times New Roman"/>
          <w:szCs w:val="24"/>
        </w:rPr>
      </w:pPr>
      <w:r w:rsidRPr="00846426">
        <w:rPr>
          <w:rFonts w:eastAsia="Times New Roman"/>
          <w:szCs w:val="24"/>
        </w:rPr>
        <w:t>Due to lengthy enquiry time and idleness of the</w:t>
      </w:r>
      <w:r>
        <w:rPr>
          <w:rFonts w:eastAsia="Times New Roman"/>
          <w:szCs w:val="24"/>
        </w:rPr>
        <w:t>se</w:t>
      </w:r>
      <w:r w:rsidRPr="00846426">
        <w:rPr>
          <w:rFonts w:eastAsia="Times New Roman"/>
          <w:szCs w:val="24"/>
        </w:rPr>
        <w:t xml:space="preserve"> luxury cars </w:t>
      </w:r>
      <w:r>
        <w:rPr>
          <w:rFonts w:eastAsia="Times New Roman"/>
          <w:szCs w:val="24"/>
        </w:rPr>
        <w:t>during</w:t>
      </w:r>
      <w:r w:rsidRPr="00846426">
        <w:rPr>
          <w:rFonts w:eastAsia="Times New Roman"/>
          <w:szCs w:val="24"/>
        </w:rPr>
        <w:t xml:space="preserve"> the past five years, the</w:t>
      </w:r>
      <w:r>
        <w:rPr>
          <w:rFonts w:eastAsia="Times New Roman"/>
          <w:szCs w:val="24"/>
        </w:rPr>
        <w:t>ir</w:t>
      </w:r>
      <w:r w:rsidRPr="00846426">
        <w:rPr>
          <w:rFonts w:eastAsia="Times New Roman"/>
          <w:szCs w:val="24"/>
        </w:rPr>
        <w:t xml:space="preserve"> market </w:t>
      </w:r>
      <w:r>
        <w:rPr>
          <w:rFonts w:eastAsia="Times New Roman"/>
          <w:szCs w:val="24"/>
        </w:rPr>
        <w:t>values have been reduced. Moreover, they were occupying valuable</w:t>
      </w:r>
      <w:r w:rsidRPr="00846426">
        <w:rPr>
          <w:rFonts w:eastAsia="Times New Roman"/>
          <w:szCs w:val="24"/>
        </w:rPr>
        <w:t xml:space="preserve"> space in </w:t>
      </w:r>
      <w:r>
        <w:rPr>
          <w:rFonts w:eastAsia="Times New Roman"/>
          <w:szCs w:val="24"/>
        </w:rPr>
        <w:t xml:space="preserve">the </w:t>
      </w:r>
      <w:r w:rsidRPr="00846426">
        <w:rPr>
          <w:rFonts w:eastAsia="Times New Roman"/>
          <w:szCs w:val="24"/>
        </w:rPr>
        <w:t>Customs Warehouse.</w:t>
      </w:r>
    </w:p>
    <w:p w:rsidR="00484ABE" w:rsidRPr="007E6CFD" w:rsidRDefault="00484ABE" w:rsidP="00484ABE">
      <w:pPr>
        <w:spacing w:after="0" w:line="240" w:lineRule="auto"/>
        <w:jc w:val="both"/>
        <w:rPr>
          <w:szCs w:val="24"/>
        </w:rPr>
      </w:pPr>
    </w:p>
    <w:p w:rsidR="00484ABE" w:rsidRDefault="00484ABE" w:rsidP="00484ABE">
      <w:pPr>
        <w:tabs>
          <w:tab w:val="left" w:pos="914"/>
        </w:tabs>
        <w:spacing w:after="0" w:line="240" w:lineRule="auto"/>
        <w:jc w:val="both"/>
        <w:rPr>
          <w:b/>
          <w:i/>
          <w:szCs w:val="24"/>
        </w:rPr>
      </w:pPr>
      <w:r>
        <w:rPr>
          <w:b/>
          <w:i/>
          <w:szCs w:val="24"/>
        </w:rPr>
        <w:t>Recommendation</w:t>
      </w:r>
    </w:p>
    <w:p w:rsidR="00484ABE" w:rsidRDefault="00484ABE" w:rsidP="00484ABE">
      <w:pPr>
        <w:tabs>
          <w:tab w:val="left" w:pos="914"/>
        </w:tabs>
        <w:spacing w:after="0" w:line="240" w:lineRule="auto"/>
        <w:jc w:val="both"/>
        <w:rPr>
          <w:b/>
          <w:i/>
          <w:szCs w:val="24"/>
        </w:rPr>
      </w:pPr>
    </w:p>
    <w:p w:rsidR="00484ABE" w:rsidRDefault="00484ABE" w:rsidP="00484ABE">
      <w:pPr>
        <w:pStyle w:val="NoSpacing"/>
        <w:jc w:val="both"/>
        <w:rPr>
          <w:rFonts w:ascii="Times New Roman" w:hAnsi="Times New Roman"/>
          <w:i/>
          <w:sz w:val="24"/>
          <w:szCs w:val="24"/>
        </w:rPr>
      </w:pPr>
      <w:r>
        <w:rPr>
          <w:rFonts w:ascii="Times New Roman" w:hAnsi="Times New Roman"/>
          <w:sz w:val="24"/>
          <w:szCs w:val="24"/>
        </w:rPr>
        <w:t xml:space="preserve">The </w:t>
      </w:r>
      <w:r w:rsidRPr="0050061C">
        <w:rPr>
          <w:rFonts w:ascii="Times New Roman" w:hAnsi="Times New Roman"/>
          <w:sz w:val="24"/>
          <w:szCs w:val="24"/>
        </w:rPr>
        <w:t>Police</w:t>
      </w:r>
      <w:r>
        <w:rPr>
          <w:rFonts w:ascii="Times New Roman" w:hAnsi="Times New Roman"/>
          <w:sz w:val="24"/>
          <w:szCs w:val="24"/>
        </w:rPr>
        <w:t xml:space="preserve"> Department should be requested to speed up investigation, to avoid these luxury cars being subject to further wear and tear due to idleness and to resolve the storage problem at Customs Warehouse.</w:t>
      </w:r>
    </w:p>
    <w:p w:rsidR="00484ABE" w:rsidRPr="00846426" w:rsidRDefault="00484ABE" w:rsidP="00484ABE">
      <w:pPr>
        <w:spacing w:after="0" w:line="240" w:lineRule="auto"/>
        <w:jc w:val="both"/>
        <w:rPr>
          <w:i/>
          <w:szCs w:val="24"/>
        </w:rPr>
      </w:pPr>
    </w:p>
    <w:p w:rsidR="00484ABE" w:rsidRPr="00B85700" w:rsidRDefault="00484ABE" w:rsidP="00484ABE">
      <w:pPr>
        <w:tabs>
          <w:tab w:val="left" w:pos="914"/>
        </w:tabs>
        <w:spacing w:after="0" w:line="240" w:lineRule="auto"/>
        <w:jc w:val="both"/>
        <w:rPr>
          <w:b/>
          <w:i/>
          <w:szCs w:val="24"/>
        </w:rPr>
      </w:pPr>
      <w:r w:rsidRPr="00B85700">
        <w:rPr>
          <w:b/>
          <w:i/>
          <w:szCs w:val="24"/>
        </w:rPr>
        <w:t>Management’s Reply</w:t>
      </w:r>
    </w:p>
    <w:p w:rsidR="00484ABE" w:rsidRPr="008B6556" w:rsidRDefault="00484ABE" w:rsidP="00484ABE">
      <w:pPr>
        <w:tabs>
          <w:tab w:val="left" w:pos="914"/>
        </w:tabs>
        <w:spacing w:after="0" w:line="240" w:lineRule="auto"/>
        <w:jc w:val="both"/>
        <w:rPr>
          <w:b/>
          <w:szCs w:val="24"/>
        </w:rPr>
      </w:pPr>
    </w:p>
    <w:p w:rsidR="00484ABE" w:rsidRPr="008B6556" w:rsidRDefault="00484ABE" w:rsidP="00484ABE">
      <w:pPr>
        <w:tabs>
          <w:tab w:val="left" w:pos="914"/>
        </w:tabs>
        <w:spacing w:after="0" w:line="240" w:lineRule="auto"/>
        <w:jc w:val="both"/>
        <w:rPr>
          <w:szCs w:val="24"/>
        </w:rPr>
      </w:pPr>
      <w:r w:rsidRPr="008B6556">
        <w:rPr>
          <w:szCs w:val="24"/>
        </w:rPr>
        <w:t>C</w:t>
      </w:r>
      <w:r w:rsidRPr="008B6556">
        <w:rPr>
          <w:spacing w:val="-3"/>
          <w:szCs w:val="24"/>
        </w:rPr>
        <w:t>O</w:t>
      </w:r>
      <w:r w:rsidRPr="008B6556">
        <w:rPr>
          <w:szCs w:val="24"/>
        </w:rPr>
        <w:t>Rs</w:t>
      </w:r>
      <w:r w:rsidRPr="008B6556">
        <w:rPr>
          <w:spacing w:val="12"/>
          <w:szCs w:val="24"/>
        </w:rPr>
        <w:t xml:space="preserve"> </w:t>
      </w:r>
      <w:r w:rsidRPr="008B6556">
        <w:rPr>
          <w:spacing w:val="-1"/>
          <w:szCs w:val="24"/>
        </w:rPr>
        <w:t>h</w:t>
      </w:r>
      <w:r w:rsidRPr="008B6556">
        <w:rPr>
          <w:szCs w:val="24"/>
        </w:rPr>
        <w:t>ave</w:t>
      </w:r>
      <w:r w:rsidRPr="008B6556">
        <w:rPr>
          <w:spacing w:val="15"/>
          <w:szCs w:val="24"/>
        </w:rPr>
        <w:t xml:space="preserve"> </w:t>
      </w:r>
      <w:r w:rsidRPr="008B6556">
        <w:rPr>
          <w:spacing w:val="-4"/>
          <w:szCs w:val="24"/>
        </w:rPr>
        <w:t>b</w:t>
      </w:r>
      <w:r w:rsidRPr="008B6556">
        <w:rPr>
          <w:szCs w:val="24"/>
        </w:rPr>
        <w:t>een</w:t>
      </w:r>
      <w:r w:rsidRPr="008B6556">
        <w:rPr>
          <w:spacing w:val="14"/>
          <w:szCs w:val="24"/>
        </w:rPr>
        <w:t xml:space="preserve"> </w:t>
      </w:r>
      <w:r w:rsidRPr="008B6556">
        <w:rPr>
          <w:szCs w:val="24"/>
        </w:rPr>
        <w:t>ra</w:t>
      </w:r>
      <w:r w:rsidRPr="008B6556">
        <w:rPr>
          <w:spacing w:val="-1"/>
          <w:szCs w:val="24"/>
        </w:rPr>
        <w:t>i</w:t>
      </w:r>
      <w:r w:rsidRPr="008B6556">
        <w:rPr>
          <w:spacing w:val="-3"/>
          <w:szCs w:val="24"/>
        </w:rPr>
        <w:t>s</w:t>
      </w:r>
      <w:r w:rsidRPr="008B6556">
        <w:rPr>
          <w:szCs w:val="24"/>
        </w:rPr>
        <w:t>ed</w:t>
      </w:r>
      <w:r w:rsidRPr="008B6556">
        <w:rPr>
          <w:spacing w:val="14"/>
          <w:szCs w:val="24"/>
        </w:rPr>
        <w:t xml:space="preserve"> </w:t>
      </w:r>
      <w:r w:rsidRPr="008B6556">
        <w:rPr>
          <w:szCs w:val="24"/>
        </w:rPr>
        <w:t>a</w:t>
      </w:r>
      <w:r w:rsidRPr="008B6556">
        <w:rPr>
          <w:spacing w:val="-1"/>
          <w:szCs w:val="24"/>
        </w:rPr>
        <w:t>n</w:t>
      </w:r>
      <w:r w:rsidRPr="008B6556">
        <w:rPr>
          <w:szCs w:val="24"/>
        </w:rPr>
        <w:t>d</w:t>
      </w:r>
      <w:r w:rsidRPr="008B6556">
        <w:rPr>
          <w:spacing w:val="14"/>
          <w:szCs w:val="24"/>
        </w:rPr>
        <w:t xml:space="preserve"> </w:t>
      </w:r>
      <w:r w:rsidRPr="008B6556">
        <w:rPr>
          <w:szCs w:val="24"/>
        </w:rPr>
        <w:t>t</w:t>
      </w:r>
      <w:r w:rsidRPr="008B6556">
        <w:rPr>
          <w:spacing w:val="-3"/>
          <w:szCs w:val="24"/>
        </w:rPr>
        <w:t>h</w:t>
      </w:r>
      <w:r w:rsidRPr="008B6556">
        <w:rPr>
          <w:szCs w:val="24"/>
        </w:rPr>
        <w:t>e</w:t>
      </w:r>
      <w:r w:rsidRPr="008B6556">
        <w:rPr>
          <w:spacing w:val="13"/>
          <w:szCs w:val="24"/>
        </w:rPr>
        <w:t xml:space="preserve"> </w:t>
      </w:r>
      <w:r w:rsidRPr="008B6556">
        <w:rPr>
          <w:szCs w:val="24"/>
        </w:rPr>
        <w:t>cars</w:t>
      </w:r>
      <w:r w:rsidRPr="008B6556">
        <w:rPr>
          <w:spacing w:val="14"/>
          <w:szCs w:val="24"/>
        </w:rPr>
        <w:t xml:space="preserve"> </w:t>
      </w:r>
      <w:r w:rsidRPr="008B6556">
        <w:rPr>
          <w:spacing w:val="-1"/>
          <w:szCs w:val="24"/>
        </w:rPr>
        <w:t>h</w:t>
      </w:r>
      <w:r w:rsidRPr="008B6556">
        <w:rPr>
          <w:szCs w:val="24"/>
        </w:rPr>
        <w:t>a</w:t>
      </w:r>
      <w:r w:rsidRPr="008B6556">
        <w:rPr>
          <w:spacing w:val="-2"/>
          <w:szCs w:val="24"/>
        </w:rPr>
        <w:t>v</w:t>
      </w:r>
      <w:r w:rsidRPr="008B6556">
        <w:rPr>
          <w:szCs w:val="24"/>
        </w:rPr>
        <w:t>e</w:t>
      </w:r>
      <w:r w:rsidRPr="008B6556">
        <w:rPr>
          <w:spacing w:val="15"/>
          <w:szCs w:val="24"/>
        </w:rPr>
        <w:t xml:space="preserve"> </w:t>
      </w:r>
      <w:r w:rsidRPr="008B6556">
        <w:rPr>
          <w:spacing w:val="-1"/>
          <w:szCs w:val="24"/>
        </w:rPr>
        <w:t>b</w:t>
      </w:r>
      <w:r w:rsidRPr="008B6556">
        <w:rPr>
          <w:spacing w:val="-2"/>
          <w:szCs w:val="24"/>
        </w:rPr>
        <w:t>e</w:t>
      </w:r>
      <w:r w:rsidRPr="008B6556">
        <w:rPr>
          <w:szCs w:val="24"/>
        </w:rPr>
        <w:t>en</w:t>
      </w:r>
      <w:r w:rsidRPr="008B6556">
        <w:rPr>
          <w:spacing w:val="14"/>
          <w:szCs w:val="24"/>
        </w:rPr>
        <w:t xml:space="preserve"> </w:t>
      </w:r>
      <w:r w:rsidRPr="008B6556">
        <w:rPr>
          <w:spacing w:val="-1"/>
          <w:szCs w:val="24"/>
        </w:rPr>
        <w:t>d</w:t>
      </w:r>
      <w:r w:rsidRPr="008B6556">
        <w:rPr>
          <w:spacing w:val="-2"/>
          <w:szCs w:val="24"/>
        </w:rPr>
        <w:t>e</w:t>
      </w:r>
      <w:r w:rsidRPr="008B6556">
        <w:rPr>
          <w:szCs w:val="24"/>
        </w:rPr>
        <w:t>tai</w:t>
      </w:r>
      <w:r w:rsidRPr="008B6556">
        <w:rPr>
          <w:spacing w:val="-1"/>
          <w:szCs w:val="24"/>
        </w:rPr>
        <w:t>n</w:t>
      </w:r>
      <w:r w:rsidRPr="008B6556">
        <w:rPr>
          <w:szCs w:val="24"/>
        </w:rPr>
        <w:t>ed</w:t>
      </w:r>
      <w:r w:rsidRPr="008B6556">
        <w:rPr>
          <w:spacing w:val="14"/>
          <w:szCs w:val="24"/>
        </w:rPr>
        <w:t xml:space="preserve"> </w:t>
      </w:r>
      <w:r w:rsidRPr="008B6556">
        <w:rPr>
          <w:spacing w:val="-3"/>
          <w:szCs w:val="24"/>
        </w:rPr>
        <w:t>a</w:t>
      </w:r>
      <w:r w:rsidRPr="008B6556">
        <w:rPr>
          <w:szCs w:val="24"/>
        </w:rPr>
        <w:t>s</w:t>
      </w:r>
      <w:r w:rsidRPr="008B6556">
        <w:rPr>
          <w:spacing w:val="14"/>
          <w:szCs w:val="24"/>
        </w:rPr>
        <w:t xml:space="preserve"> </w:t>
      </w:r>
      <w:r w:rsidRPr="008B6556">
        <w:rPr>
          <w:szCs w:val="24"/>
        </w:rPr>
        <w:t>ex</w:t>
      </w:r>
      <w:r w:rsidRPr="008B6556">
        <w:rPr>
          <w:spacing w:val="-1"/>
          <w:szCs w:val="24"/>
        </w:rPr>
        <w:t>h</w:t>
      </w:r>
      <w:r w:rsidRPr="008B6556">
        <w:rPr>
          <w:szCs w:val="24"/>
        </w:rPr>
        <w:t>i</w:t>
      </w:r>
      <w:r w:rsidRPr="008B6556">
        <w:rPr>
          <w:spacing w:val="-2"/>
          <w:szCs w:val="24"/>
        </w:rPr>
        <w:t>b</w:t>
      </w:r>
      <w:r w:rsidRPr="008B6556">
        <w:rPr>
          <w:szCs w:val="24"/>
        </w:rPr>
        <w:t>its.</w:t>
      </w:r>
      <w:r w:rsidRPr="008B6556">
        <w:rPr>
          <w:spacing w:val="12"/>
          <w:szCs w:val="24"/>
        </w:rPr>
        <w:t xml:space="preserve"> </w:t>
      </w:r>
      <w:r w:rsidRPr="008B6556">
        <w:rPr>
          <w:szCs w:val="24"/>
        </w:rPr>
        <w:t>In</w:t>
      </w:r>
      <w:r w:rsidRPr="008B6556">
        <w:rPr>
          <w:spacing w:val="-1"/>
          <w:szCs w:val="24"/>
        </w:rPr>
        <w:t xml:space="preserve"> </w:t>
      </w:r>
      <w:r>
        <w:rPr>
          <w:spacing w:val="-1"/>
          <w:szCs w:val="24"/>
        </w:rPr>
        <w:t>three</w:t>
      </w:r>
      <w:r w:rsidRPr="008B6556">
        <w:rPr>
          <w:spacing w:val="1"/>
          <w:szCs w:val="24"/>
        </w:rPr>
        <w:t xml:space="preserve"> </w:t>
      </w:r>
      <w:r w:rsidRPr="008B6556">
        <w:rPr>
          <w:szCs w:val="24"/>
        </w:rPr>
        <w:t>cases af</w:t>
      </w:r>
      <w:r w:rsidRPr="008B6556">
        <w:rPr>
          <w:spacing w:val="-3"/>
          <w:szCs w:val="24"/>
        </w:rPr>
        <w:t>t</w:t>
      </w:r>
      <w:r w:rsidRPr="008B6556">
        <w:rPr>
          <w:szCs w:val="24"/>
        </w:rPr>
        <w:t>er c</w:t>
      </w:r>
      <w:r w:rsidRPr="008B6556">
        <w:rPr>
          <w:spacing w:val="-1"/>
          <w:szCs w:val="24"/>
        </w:rPr>
        <w:t>o</w:t>
      </w:r>
      <w:r w:rsidRPr="008B6556">
        <w:rPr>
          <w:szCs w:val="24"/>
        </w:rPr>
        <w:t>m</w:t>
      </w:r>
      <w:r w:rsidRPr="008B6556">
        <w:rPr>
          <w:spacing w:val="-1"/>
          <w:szCs w:val="24"/>
        </w:rPr>
        <w:t>p</w:t>
      </w:r>
      <w:r w:rsidRPr="008B6556">
        <w:rPr>
          <w:szCs w:val="24"/>
        </w:rPr>
        <w:t>let</w:t>
      </w:r>
      <w:r w:rsidRPr="008B6556">
        <w:rPr>
          <w:spacing w:val="-2"/>
          <w:szCs w:val="24"/>
        </w:rPr>
        <w:t>i</w:t>
      </w:r>
      <w:r w:rsidRPr="008B6556">
        <w:rPr>
          <w:spacing w:val="1"/>
          <w:szCs w:val="24"/>
        </w:rPr>
        <w:t>o</w:t>
      </w:r>
      <w:r w:rsidRPr="008B6556">
        <w:rPr>
          <w:szCs w:val="24"/>
        </w:rPr>
        <w:t>n</w:t>
      </w:r>
      <w:r w:rsidRPr="008B6556">
        <w:rPr>
          <w:spacing w:val="-1"/>
          <w:szCs w:val="24"/>
        </w:rPr>
        <w:t xml:space="preserve"> </w:t>
      </w:r>
      <w:r w:rsidRPr="008B6556">
        <w:rPr>
          <w:spacing w:val="1"/>
          <w:szCs w:val="24"/>
        </w:rPr>
        <w:t>o</w:t>
      </w:r>
      <w:r w:rsidRPr="008B6556">
        <w:rPr>
          <w:szCs w:val="24"/>
        </w:rPr>
        <w:t>f t</w:t>
      </w:r>
      <w:r w:rsidRPr="008B6556">
        <w:rPr>
          <w:spacing w:val="-1"/>
          <w:szCs w:val="24"/>
        </w:rPr>
        <w:t>h</w:t>
      </w:r>
      <w:r w:rsidRPr="008B6556">
        <w:rPr>
          <w:szCs w:val="24"/>
        </w:rPr>
        <w:t>e i</w:t>
      </w:r>
      <w:r w:rsidRPr="008B6556">
        <w:rPr>
          <w:spacing w:val="-2"/>
          <w:szCs w:val="24"/>
        </w:rPr>
        <w:t>nv</w:t>
      </w:r>
      <w:r w:rsidRPr="008B6556">
        <w:rPr>
          <w:szCs w:val="24"/>
        </w:rPr>
        <w:t>es</w:t>
      </w:r>
      <w:r w:rsidRPr="008B6556">
        <w:rPr>
          <w:spacing w:val="-2"/>
          <w:szCs w:val="24"/>
        </w:rPr>
        <w:t>t</w:t>
      </w:r>
      <w:r w:rsidRPr="008B6556">
        <w:rPr>
          <w:szCs w:val="24"/>
        </w:rPr>
        <w:t>i</w:t>
      </w:r>
      <w:r w:rsidRPr="008B6556">
        <w:rPr>
          <w:spacing w:val="-1"/>
          <w:szCs w:val="24"/>
        </w:rPr>
        <w:t>g</w:t>
      </w:r>
      <w:r w:rsidRPr="008B6556">
        <w:rPr>
          <w:szCs w:val="24"/>
        </w:rPr>
        <w:t>atio</w:t>
      </w:r>
      <w:r w:rsidRPr="008B6556">
        <w:rPr>
          <w:spacing w:val="-1"/>
          <w:szCs w:val="24"/>
        </w:rPr>
        <w:t>n</w:t>
      </w:r>
      <w:r w:rsidRPr="008B6556">
        <w:rPr>
          <w:szCs w:val="24"/>
        </w:rPr>
        <w:t>, t</w:t>
      </w:r>
      <w:r w:rsidRPr="008B6556">
        <w:rPr>
          <w:spacing w:val="-1"/>
          <w:szCs w:val="24"/>
        </w:rPr>
        <w:t>h</w:t>
      </w:r>
      <w:r w:rsidRPr="008B6556">
        <w:rPr>
          <w:szCs w:val="24"/>
        </w:rPr>
        <w:t>e case</w:t>
      </w:r>
      <w:r>
        <w:rPr>
          <w:szCs w:val="24"/>
        </w:rPr>
        <w:t>s</w:t>
      </w:r>
      <w:r w:rsidRPr="008B6556">
        <w:rPr>
          <w:spacing w:val="1"/>
          <w:szCs w:val="24"/>
        </w:rPr>
        <w:t xml:space="preserve"> </w:t>
      </w:r>
      <w:r w:rsidRPr="008B6556">
        <w:rPr>
          <w:spacing w:val="-1"/>
          <w:szCs w:val="24"/>
        </w:rPr>
        <w:t>h</w:t>
      </w:r>
      <w:r w:rsidRPr="008B6556">
        <w:rPr>
          <w:spacing w:val="-3"/>
          <w:szCs w:val="24"/>
        </w:rPr>
        <w:t>a</w:t>
      </w:r>
      <w:r w:rsidRPr="008B6556">
        <w:rPr>
          <w:szCs w:val="24"/>
        </w:rPr>
        <w:t xml:space="preserve">ve </w:t>
      </w:r>
      <w:r w:rsidRPr="008B6556">
        <w:rPr>
          <w:spacing w:val="-1"/>
          <w:szCs w:val="24"/>
        </w:rPr>
        <w:t>b</w:t>
      </w:r>
      <w:r w:rsidRPr="008B6556">
        <w:rPr>
          <w:szCs w:val="24"/>
        </w:rPr>
        <w:t>een</w:t>
      </w:r>
      <w:r w:rsidRPr="008B6556">
        <w:rPr>
          <w:spacing w:val="-3"/>
          <w:szCs w:val="24"/>
        </w:rPr>
        <w:t xml:space="preserve"> </w:t>
      </w:r>
      <w:r w:rsidRPr="008B6556">
        <w:rPr>
          <w:szCs w:val="24"/>
        </w:rPr>
        <w:t>referr</w:t>
      </w:r>
      <w:r w:rsidRPr="008B6556">
        <w:rPr>
          <w:spacing w:val="-2"/>
          <w:szCs w:val="24"/>
        </w:rPr>
        <w:t>e</w:t>
      </w:r>
      <w:r w:rsidRPr="008B6556">
        <w:rPr>
          <w:szCs w:val="24"/>
        </w:rPr>
        <w:t>d to</w:t>
      </w:r>
      <w:r w:rsidRPr="008B6556">
        <w:rPr>
          <w:spacing w:val="-1"/>
          <w:szCs w:val="24"/>
        </w:rPr>
        <w:t xml:space="preserve"> </w:t>
      </w:r>
      <w:r w:rsidRPr="008B6556">
        <w:rPr>
          <w:szCs w:val="24"/>
        </w:rPr>
        <w:t>the</w:t>
      </w:r>
      <w:r w:rsidRPr="008B6556">
        <w:rPr>
          <w:spacing w:val="-2"/>
          <w:szCs w:val="24"/>
        </w:rPr>
        <w:t xml:space="preserve"> </w:t>
      </w:r>
      <w:r w:rsidRPr="008B6556">
        <w:rPr>
          <w:szCs w:val="24"/>
        </w:rPr>
        <w:t>D</w:t>
      </w:r>
      <w:r w:rsidRPr="008B6556">
        <w:rPr>
          <w:spacing w:val="-2"/>
          <w:szCs w:val="24"/>
        </w:rPr>
        <w:t>P</w:t>
      </w:r>
      <w:r w:rsidR="004A710B">
        <w:rPr>
          <w:szCs w:val="24"/>
        </w:rPr>
        <w:t>P. I</w:t>
      </w:r>
      <w:r w:rsidRPr="008B6556">
        <w:rPr>
          <w:szCs w:val="24"/>
        </w:rPr>
        <w:t>n</w:t>
      </w:r>
      <w:r w:rsidRPr="008B6556">
        <w:rPr>
          <w:spacing w:val="-3"/>
          <w:szCs w:val="24"/>
        </w:rPr>
        <w:t xml:space="preserve"> </w:t>
      </w:r>
      <w:r w:rsidRPr="008B6556">
        <w:rPr>
          <w:szCs w:val="24"/>
        </w:rPr>
        <w:t>the</w:t>
      </w:r>
      <w:r w:rsidRPr="008B6556">
        <w:rPr>
          <w:spacing w:val="1"/>
          <w:szCs w:val="24"/>
        </w:rPr>
        <w:t xml:space="preserve"> </w:t>
      </w:r>
      <w:r w:rsidRPr="008B6556">
        <w:rPr>
          <w:spacing w:val="-3"/>
          <w:szCs w:val="24"/>
        </w:rPr>
        <w:t>r</w:t>
      </w:r>
      <w:r w:rsidRPr="008B6556">
        <w:rPr>
          <w:szCs w:val="24"/>
        </w:rPr>
        <w:t>e</w:t>
      </w:r>
      <w:r w:rsidRPr="008B6556">
        <w:rPr>
          <w:spacing w:val="-1"/>
          <w:szCs w:val="24"/>
        </w:rPr>
        <w:t>m</w:t>
      </w:r>
      <w:r w:rsidRPr="008B6556">
        <w:rPr>
          <w:szCs w:val="24"/>
        </w:rPr>
        <w:t>ai</w:t>
      </w:r>
      <w:r w:rsidRPr="008B6556">
        <w:rPr>
          <w:spacing w:val="-2"/>
          <w:szCs w:val="24"/>
        </w:rPr>
        <w:t>n</w:t>
      </w:r>
      <w:r w:rsidRPr="008B6556">
        <w:rPr>
          <w:szCs w:val="24"/>
        </w:rPr>
        <w:t>i</w:t>
      </w:r>
      <w:r w:rsidRPr="008B6556">
        <w:rPr>
          <w:spacing w:val="-2"/>
          <w:szCs w:val="24"/>
        </w:rPr>
        <w:t>n</w:t>
      </w:r>
      <w:r w:rsidRPr="008B6556">
        <w:rPr>
          <w:szCs w:val="24"/>
        </w:rPr>
        <w:t>g</w:t>
      </w:r>
      <w:r w:rsidRPr="008B6556">
        <w:rPr>
          <w:spacing w:val="-1"/>
          <w:szCs w:val="24"/>
        </w:rPr>
        <w:t xml:space="preserve"> </w:t>
      </w:r>
      <w:r w:rsidR="004A710B">
        <w:rPr>
          <w:szCs w:val="24"/>
        </w:rPr>
        <w:t>nine</w:t>
      </w:r>
      <w:r w:rsidRPr="008B6556">
        <w:rPr>
          <w:spacing w:val="1"/>
          <w:szCs w:val="24"/>
        </w:rPr>
        <w:t xml:space="preserve"> </w:t>
      </w:r>
      <w:r w:rsidRPr="008B6556">
        <w:rPr>
          <w:szCs w:val="24"/>
        </w:rPr>
        <w:t>ca</w:t>
      </w:r>
      <w:r w:rsidRPr="008B6556">
        <w:rPr>
          <w:spacing w:val="-3"/>
          <w:szCs w:val="24"/>
        </w:rPr>
        <w:t>s</w:t>
      </w:r>
      <w:r w:rsidRPr="008B6556">
        <w:rPr>
          <w:szCs w:val="24"/>
        </w:rPr>
        <w:t>es,</w:t>
      </w:r>
      <w:r w:rsidRPr="008B6556">
        <w:rPr>
          <w:spacing w:val="-1"/>
          <w:szCs w:val="24"/>
        </w:rPr>
        <w:t xml:space="preserve"> </w:t>
      </w:r>
      <w:r w:rsidRPr="008B6556">
        <w:rPr>
          <w:szCs w:val="24"/>
        </w:rPr>
        <w:t>P</w:t>
      </w:r>
      <w:r w:rsidRPr="008B6556">
        <w:rPr>
          <w:spacing w:val="1"/>
          <w:szCs w:val="24"/>
        </w:rPr>
        <w:t>o</w:t>
      </w:r>
      <w:r w:rsidRPr="008B6556">
        <w:rPr>
          <w:szCs w:val="24"/>
        </w:rPr>
        <w:t>l</w:t>
      </w:r>
      <w:r w:rsidRPr="008B6556">
        <w:rPr>
          <w:spacing w:val="-3"/>
          <w:szCs w:val="24"/>
        </w:rPr>
        <w:t>i</w:t>
      </w:r>
      <w:r w:rsidRPr="008B6556">
        <w:rPr>
          <w:szCs w:val="24"/>
        </w:rPr>
        <w:t>ce</w:t>
      </w:r>
      <w:r w:rsidRPr="008B6556">
        <w:rPr>
          <w:spacing w:val="1"/>
          <w:szCs w:val="24"/>
        </w:rPr>
        <w:t xml:space="preserve"> </w:t>
      </w:r>
      <w:r w:rsidRPr="008B6556">
        <w:rPr>
          <w:szCs w:val="24"/>
        </w:rPr>
        <w:t>is</w:t>
      </w:r>
      <w:r w:rsidRPr="008B6556">
        <w:rPr>
          <w:spacing w:val="-3"/>
          <w:szCs w:val="24"/>
        </w:rPr>
        <w:t xml:space="preserve"> </w:t>
      </w:r>
      <w:r w:rsidRPr="008B6556">
        <w:rPr>
          <w:szCs w:val="24"/>
        </w:rPr>
        <w:t>sti</w:t>
      </w:r>
      <w:r w:rsidRPr="008B6556">
        <w:rPr>
          <w:spacing w:val="-1"/>
          <w:szCs w:val="24"/>
        </w:rPr>
        <w:t>l</w:t>
      </w:r>
      <w:r w:rsidRPr="008B6556">
        <w:rPr>
          <w:szCs w:val="24"/>
        </w:rPr>
        <w:t>l i</w:t>
      </w:r>
      <w:r w:rsidRPr="008B6556">
        <w:rPr>
          <w:spacing w:val="-4"/>
          <w:szCs w:val="24"/>
        </w:rPr>
        <w:t>n</w:t>
      </w:r>
      <w:r w:rsidRPr="008B6556">
        <w:rPr>
          <w:spacing w:val="-2"/>
          <w:szCs w:val="24"/>
        </w:rPr>
        <w:t>v</w:t>
      </w:r>
      <w:r w:rsidRPr="008B6556">
        <w:rPr>
          <w:szCs w:val="24"/>
        </w:rPr>
        <w:t>esti</w:t>
      </w:r>
      <w:r w:rsidRPr="008B6556">
        <w:rPr>
          <w:spacing w:val="-1"/>
          <w:szCs w:val="24"/>
        </w:rPr>
        <w:t>g</w:t>
      </w:r>
      <w:r w:rsidRPr="008B6556">
        <w:rPr>
          <w:szCs w:val="24"/>
        </w:rPr>
        <w:t>ati</w:t>
      </w:r>
      <w:r w:rsidRPr="008B6556">
        <w:rPr>
          <w:spacing w:val="-1"/>
          <w:szCs w:val="24"/>
        </w:rPr>
        <w:t>ng</w:t>
      </w:r>
      <w:r w:rsidRPr="008B6556">
        <w:rPr>
          <w:szCs w:val="24"/>
        </w:rPr>
        <w:t>. T</w:t>
      </w:r>
      <w:r w:rsidRPr="008B6556">
        <w:rPr>
          <w:spacing w:val="-1"/>
          <w:szCs w:val="24"/>
        </w:rPr>
        <w:t>h</w:t>
      </w:r>
      <w:r w:rsidRPr="008B6556">
        <w:rPr>
          <w:szCs w:val="24"/>
        </w:rPr>
        <w:t>e</w:t>
      </w:r>
      <w:r w:rsidRPr="008B6556">
        <w:rPr>
          <w:spacing w:val="3"/>
          <w:szCs w:val="24"/>
        </w:rPr>
        <w:t xml:space="preserve"> </w:t>
      </w:r>
      <w:r w:rsidRPr="008B6556">
        <w:rPr>
          <w:spacing w:val="-3"/>
          <w:szCs w:val="24"/>
        </w:rPr>
        <w:t>r</w:t>
      </w:r>
      <w:r w:rsidRPr="008B6556">
        <w:rPr>
          <w:spacing w:val="-2"/>
          <w:szCs w:val="24"/>
        </w:rPr>
        <w:t>e</w:t>
      </w:r>
      <w:r w:rsidRPr="008B6556">
        <w:rPr>
          <w:spacing w:val="-1"/>
          <w:szCs w:val="24"/>
        </w:rPr>
        <w:t>p</w:t>
      </w:r>
      <w:r w:rsidRPr="008B6556">
        <w:rPr>
          <w:szCs w:val="24"/>
        </w:rPr>
        <w:t>ly</w:t>
      </w:r>
      <w:r w:rsidRPr="008B6556">
        <w:rPr>
          <w:spacing w:val="3"/>
          <w:szCs w:val="24"/>
        </w:rPr>
        <w:t xml:space="preserve"> </w:t>
      </w:r>
      <w:r w:rsidRPr="008B6556">
        <w:rPr>
          <w:szCs w:val="24"/>
        </w:rPr>
        <w:t>is still</w:t>
      </w:r>
      <w:r w:rsidRPr="008B6556">
        <w:rPr>
          <w:spacing w:val="-3"/>
          <w:szCs w:val="24"/>
        </w:rPr>
        <w:t xml:space="preserve"> </w:t>
      </w:r>
      <w:r w:rsidRPr="008B6556">
        <w:rPr>
          <w:szCs w:val="24"/>
        </w:rPr>
        <w:t>bei</w:t>
      </w:r>
      <w:r w:rsidRPr="008B6556">
        <w:rPr>
          <w:spacing w:val="-1"/>
          <w:szCs w:val="24"/>
        </w:rPr>
        <w:t>n</w:t>
      </w:r>
      <w:r w:rsidRPr="008B6556">
        <w:rPr>
          <w:szCs w:val="24"/>
        </w:rPr>
        <w:t>g</w:t>
      </w:r>
      <w:r w:rsidRPr="008B6556">
        <w:rPr>
          <w:spacing w:val="-1"/>
          <w:szCs w:val="24"/>
        </w:rPr>
        <w:t xml:space="preserve"> </w:t>
      </w:r>
      <w:r w:rsidRPr="008B6556">
        <w:rPr>
          <w:spacing w:val="-2"/>
          <w:szCs w:val="24"/>
        </w:rPr>
        <w:t>a</w:t>
      </w:r>
      <w:r w:rsidRPr="008B6556">
        <w:rPr>
          <w:szCs w:val="24"/>
        </w:rPr>
        <w:t>waite</w:t>
      </w:r>
      <w:r w:rsidRPr="008B6556">
        <w:rPr>
          <w:spacing w:val="-1"/>
          <w:szCs w:val="24"/>
        </w:rPr>
        <w:t>d</w:t>
      </w:r>
      <w:r w:rsidRPr="008B6556">
        <w:rPr>
          <w:szCs w:val="24"/>
        </w:rPr>
        <w:t>.</w:t>
      </w:r>
    </w:p>
    <w:p w:rsidR="00484ABE" w:rsidRDefault="00484ABE" w:rsidP="00484ABE">
      <w:pPr>
        <w:pStyle w:val="ListParagraph"/>
        <w:spacing w:after="0" w:line="240" w:lineRule="auto"/>
        <w:ind w:left="0"/>
        <w:jc w:val="both"/>
      </w:pPr>
    </w:p>
    <w:p w:rsidR="00A82AE4" w:rsidRPr="00A82AE4" w:rsidRDefault="00A82AE4" w:rsidP="00A82AE4">
      <w:pPr>
        <w:autoSpaceDE w:val="0"/>
        <w:autoSpaceDN w:val="0"/>
        <w:adjustRightInd w:val="0"/>
        <w:spacing w:after="0" w:line="240" w:lineRule="auto"/>
        <w:jc w:val="both"/>
        <w:rPr>
          <w:szCs w:val="24"/>
          <w:lang w:val="en-GB"/>
        </w:rPr>
      </w:pPr>
      <w:r w:rsidRPr="00A82AE4">
        <w:rPr>
          <w:szCs w:val="24"/>
          <w:lang w:val="en-GB"/>
        </w:rPr>
        <w:t xml:space="preserve">In order to expedite matters, MRA will schedule meetings with the Authorities where Customs cases have been referred to. </w:t>
      </w:r>
    </w:p>
    <w:p w:rsidR="00DC4E47" w:rsidRPr="00846426" w:rsidRDefault="00DC4E47" w:rsidP="00484ABE">
      <w:pPr>
        <w:pStyle w:val="ListParagraph"/>
        <w:spacing w:after="0" w:line="240" w:lineRule="auto"/>
        <w:ind w:left="0"/>
        <w:jc w:val="both"/>
      </w:pPr>
    </w:p>
    <w:p w:rsidR="00484ABE" w:rsidRPr="00846426" w:rsidRDefault="00DE09C2" w:rsidP="00484ABE">
      <w:pPr>
        <w:spacing w:after="0" w:line="240" w:lineRule="auto"/>
        <w:jc w:val="both"/>
        <w:rPr>
          <w:b/>
          <w:i/>
          <w:szCs w:val="24"/>
        </w:rPr>
      </w:pPr>
      <w:r>
        <w:rPr>
          <w:b/>
          <w:i/>
          <w:szCs w:val="24"/>
        </w:rPr>
        <w:t>6.5</w:t>
      </w:r>
      <w:r w:rsidR="00484ABE">
        <w:rPr>
          <w:b/>
          <w:i/>
          <w:szCs w:val="24"/>
        </w:rPr>
        <w:t>.3</w:t>
      </w:r>
      <w:r w:rsidR="00484ABE">
        <w:rPr>
          <w:b/>
          <w:i/>
          <w:szCs w:val="24"/>
        </w:rPr>
        <w:tab/>
      </w:r>
      <w:r w:rsidR="00484ABE" w:rsidRPr="00846426">
        <w:rPr>
          <w:b/>
          <w:i/>
          <w:szCs w:val="24"/>
        </w:rPr>
        <w:t>Imported Yacht</w:t>
      </w:r>
    </w:p>
    <w:p w:rsidR="00484ABE" w:rsidRPr="00846426" w:rsidRDefault="00484ABE" w:rsidP="00484ABE">
      <w:pPr>
        <w:spacing w:after="0" w:line="240" w:lineRule="auto"/>
        <w:jc w:val="both"/>
        <w:rPr>
          <w:szCs w:val="24"/>
        </w:rPr>
      </w:pPr>
    </w:p>
    <w:p w:rsidR="00484ABE" w:rsidRPr="00846426" w:rsidRDefault="00484ABE" w:rsidP="00484ABE">
      <w:pPr>
        <w:spacing w:after="0" w:line="240" w:lineRule="auto"/>
        <w:jc w:val="both"/>
        <w:rPr>
          <w:szCs w:val="24"/>
        </w:rPr>
      </w:pPr>
      <w:r w:rsidRPr="00F51543">
        <w:rPr>
          <w:szCs w:val="24"/>
        </w:rPr>
        <w:t>At paragraph 7.6.2 of the Audit Report for the 18-month period 1 January 2015 to 30 June 2016,</w:t>
      </w:r>
      <w:r w:rsidRPr="00846426">
        <w:rPr>
          <w:szCs w:val="24"/>
        </w:rPr>
        <w:t xml:space="preserve"> mention was made that the HS Code of a yacht imported by a </w:t>
      </w:r>
      <w:r>
        <w:rPr>
          <w:szCs w:val="24"/>
        </w:rPr>
        <w:t>C</w:t>
      </w:r>
      <w:r w:rsidRPr="00846426">
        <w:rPr>
          <w:szCs w:val="24"/>
        </w:rPr>
        <w:t xml:space="preserve">ompany was wrongly classified, resulting in an underpayment of VAT amount of Rs 11,405,620. As of 30 June 2017, the amount due </w:t>
      </w:r>
      <w:proofErr w:type="spellStart"/>
      <w:r w:rsidRPr="00846426">
        <w:rPr>
          <w:szCs w:val="24"/>
        </w:rPr>
        <w:t>totalled</w:t>
      </w:r>
      <w:proofErr w:type="spellEnd"/>
      <w:r w:rsidRPr="00846426">
        <w:rPr>
          <w:szCs w:val="24"/>
        </w:rPr>
        <w:t xml:space="preserve"> Rs 23,265,902, inclusive of penalties and interest</w:t>
      </w:r>
      <w:r>
        <w:rPr>
          <w:szCs w:val="24"/>
        </w:rPr>
        <w:t>s</w:t>
      </w:r>
      <w:r w:rsidRPr="00846426">
        <w:rPr>
          <w:szCs w:val="24"/>
        </w:rPr>
        <w:t xml:space="preserve">. </w:t>
      </w:r>
    </w:p>
    <w:p w:rsidR="00484ABE" w:rsidRDefault="00484ABE" w:rsidP="00484ABE">
      <w:pPr>
        <w:spacing w:after="0" w:line="240" w:lineRule="auto"/>
        <w:jc w:val="both"/>
        <w:rPr>
          <w:color w:val="00B050"/>
          <w:szCs w:val="24"/>
        </w:rPr>
      </w:pPr>
    </w:p>
    <w:p w:rsidR="00484ABE" w:rsidRPr="00AF2723" w:rsidRDefault="00484ABE" w:rsidP="00484ABE">
      <w:pPr>
        <w:spacing w:after="0" w:line="240" w:lineRule="auto"/>
        <w:jc w:val="both"/>
        <w:rPr>
          <w:szCs w:val="24"/>
        </w:rPr>
      </w:pPr>
      <w:r w:rsidRPr="00AF2723">
        <w:rPr>
          <w:szCs w:val="24"/>
        </w:rPr>
        <w:t xml:space="preserve">In April 2013, the </w:t>
      </w:r>
      <w:r>
        <w:rPr>
          <w:szCs w:val="24"/>
        </w:rPr>
        <w:t>C</w:t>
      </w:r>
      <w:r w:rsidRPr="00AF2723">
        <w:rPr>
          <w:szCs w:val="24"/>
        </w:rPr>
        <w:t xml:space="preserve">ompany produced documentary evidence that ownership of the </w:t>
      </w:r>
      <w:proofErr w:type="spellStart"/>
      <w:r w:rsidRPr="00AF2723">
        <w:rPr>
          <w:szCs w:val="24"/>
        </w:rPr>
        <w:t>yatch</w:t>
      </w:r>
      <w:proofErr w:type="spellEnd"/>
      <w:r w:rsidRPr="00AF2723">
        <w:rPr>
          <w:szCs w:val="24"/>
        </w:rPr>
        <w:t xml:space="preserve"> had been transferred to another </w:t>
      </w:r>
      <w:r>
        <w:rPr>
          <w:szCs w:val="24"/>
        </w:rPr>
        <w:t>C</w:t>
      </w:r>
      <w:r w:rsidRPr="00AF2723">
        <w:rPr>
          <w:szCs w:val="24"/>
        </w:rPr>
        <w:t xml:space="preserve">ompany. However, both </w:t>
      </w:r>
      <w:r>
        <w:rPr>
          <w:szCs w:val="24"/>
        </w:rPr>
        <w:t>C</w:t>
      </w:r>
      <w:r w:rsidRPr="00AF2723">
        <w:rPr>
          <w:szCs w:val="24"/>
        </w:rPr>
        <w:t xml:space="preserve">ompanies had been dissolved in June 2014 and June 2015 respectively. In November 2016, the Attorney General’s Office (AGO) advised to reinstate both </w:t>
      </w:r>
      <w:r>
        <w:rPr>
          <w:szCs w:val="24"/>
        </w:rPr>
        <w:t>C</w:t>
      </w:r>
      <w:r w:rsidRPr="00AF2723">
        <w:rPr>
          <w:szCs w:val="24"/>
        </w:rPr>
        <w:t>ompanies and to have a “</w:t>
      </w:r>
      <w:proofErr w:type="spellStart"/>
      <w:r w:rsidRPr="001D533E">
        <w:rPr>
          <w:i/>
          <w:szCs w:val="24"/>
        </w:rPr>
        <w:t>Saisie</w:t>
      </w:r>
      <w:proofErr w:type="spellEnd"/>
      <w:r w:rsidRPr="001D533E">
        <w:rPr>
          <w:i/>
          <w:szCs w:val="24"/>
        </w:rPr>
        <w:t xml:space="preserve"> Conservatoire</w:t>
      </w:r>
      <w:r w:rsidRPr="00AF2723">
        <w:rPr>
          <w:szCs w:val="24"/>
        </w:rPr>
        <w:t xml:space="preserve">” of the yacht. </w:t>
      </w:r>
    </w:p>
    <w:p w:rsidR="00484ABE" w:rsidRDefault="00484ABE" w:rsidP="00484ABE">
      <w:pPr>
        <w:spacing w:after="0" w:line="240" w:lineRule="auto"/>
        <w:jc w:val="both"/>
        <w:rPr>
          <w:color w:val="00B050"/>
          <w:szCs w:val="24"/>
        </w:rPr>
      </w:pPr>
    </w:p>
    <w:p w:rsidR="00484ABE" w:rsidRDefault="00484ABE" w:rsidP="00484ABE">
      <w:pPr>
        <w:spacing w:after="0" w:line="240" w:lineRule="auto"/>
        <w:jc w:val="both"/>
        <w:rPr>
          <w:szCs w:val="24"/>
        </w:rPr>
      </w:pPr>
      <w:r w:rsidRPr="00AF2723">
        <w:rPr>
          <w:rFonts w:eastAsia="Times New Roman"/>
          <w:szCs w:val="24"/>
        </w:rPr>
        <w:t xml:space="preserve">As of November 2017, the two </w:t>
      </w:r>
      <w:r>
        <w:rPr>
          <w:rFonts w:eastAsia="Times New Roman"/>
          <w:szCs w:val="24"/>
        </w:rPr>
        <w:t>C</w:t>
      </w:r>
      <w:r w:rsidRPr="00AF2723">
        <w:rPr>
          <w:rFonts w:eastAsia="Times New Roman"/>
          <w:szCs w:val="24"/>
        </w:rPr>
        <w:t>ompanies have not yet been reinstated</w:t>
      </w:r>
      <w:r w:rsidRPr="00AF2723">
        <w:rPr>
          <w:szCs w:val="24"/>
        </w:rPr>
        <w:t xml:space="preserve"> and a “</w:t>
      </w:r>
      <w:proofErr w:type="spellStart"/>
      <w:r w:rsidRPr="00AA2B4E">
        <w:rPr>
          <w:i/>
          <w:szCs w:val="24"/>
        </w:rPr>
        <w:t>Saisie</w:t>
      </w:r>
      <w:proofErr w:type="spellEnd"/>
      <w:r w:rsidRPr="00AA2B4E">
        <w:rPr>
          <w:i/>
          <w:szCs w:val="24"/>
        </w:rPr>
        <w:t xml:space="preserve"> Conservatoire</w:t>
      </w:r>
      <w:r w:rsidRPr="00AF2723">
        <w:rPr>
          <w:szCs w:val="24"/>
        </w:rPr>
        <w:t>” applied</w:t>
      </w:r>
      <w:r>
        <w:rPr>
          <w:szCs w:val="24"/>
        </w:rPr>
        <w:t xml:space="preserve">. Due to lengthy processing time, </w:t>
      </w:r>
      <w:r w:rsidRPr="00AF2723">
        <w:rPr>
          <w:szCs w:val="24"/>
        </w:rPr>
        <w:t xml:space="preserve">the </w:t>
      </w:r>
      <w:proofErr w:type="spellStart"/>
      <w:r w:rsidRPr="00AF2723">
        <w:rPr>
          <w:szCs w:val="24"/>
        </w:rPr>
        <w:t>yatch</w:t>
      </w:r>
      <w:proofErr w:type="spellEnd"/>
      <w:r w:rsidRPr="00AF2723">
        <w:rPr>
          <w:szCs w:val="24"/>
        </w:rPr>
        <w:t xml:space="preserve"> </w:t>
      </w:r>
      <w:r>
        <w:rPr>
          <w:szCs w:val="24"/>
        </w:rPr>
        <w:t>h</w:t>
      </w:r>
      <w:r w:rsidRPr="00AF2723">
        <w:rPr>
          <w:szCs w:val="24"/>
        </w:rPr>
        <w:t xml:space="preserve">as </w:t>
      </w:r>
      <w:r>
        <w:rPr>
          <w:szCs w:val="24"/>
        </w:rPr>
        <w:t xml:space="preserve">been </w:t>
      </w:r>
      <w:r w:rsidRPr="00AF2723">
        <w:rPr>
          <w:szCs w:val="24"/>
        </w:rPr>
        <w:t xml:space="preserve">detained in the Port area </w:t>
      </w:r>
      <w:r>
        <w:rPr>
          <w:szCs w:val="24"/>
        </w:rPr>
        <w:t>for the past five years.</w:t>
      </w:r>
    </w:p>
    <w:p w:rsidR="00484ABE" w:rsidRPr="00846426" w:rsidRDefault="00484ABE" w:rsidP="00484ABE">
      <w:pPr>
        <w:spacing w:after="0" w:line="240" w:lineRule="auto"/>
        <w:jc w:val="both"/>
        <w:rPr>
          <w:szCs w:val="24"/>
        </w:rPr>
      </w:pPr>
    </w:p>
    <w:p w:rsidR="00484ABE" w:rsidRPr="003E51F5" w:rsidRDefault="00484ABE" w:rsidP="00484ABE">
      <w:pPr>
        <w:spacing w:after="0" w:line="240" w:lineRule="auto"/>
        <w:jc w:val="both"/>
        <w:rPr>
          <w:b/>
          <w:i/>
          <w:szCs w:val="24"/>
        </w:rPr>
      </w:pPr>
      <w:r w:rsidRPr="003E51F5">
        <w:rPr>
          <w:b/>
          <w:i/>
          <w:szCs w:val="24"/>
        </w:rPr>
        <w:t xml:space="preserve">Recommendation </w:t>
      </w:r>
    </w:p>
    <w:p w:rsidR="00484ABE" w:rsidRPr="003E51F5" w:rsidRDefault="00484ABE" w:rsidP="00484ABE">
      <w:pPr>
        <w:spacing w:after="0" w:line="240" w:lineRule="auto"/>
        <w:jc w:val="both"/>
        <w:rPr>
          <w:szCs w:val="24"/>
        </w:rPr>
      </w:pPr>
      <w:r w:rsidRPr="003E51F5">
        <w:rPr>
          <w:szCs w:val="24"/>
        </w:rPr>
        <w:t xml:space="preserve"> </w:t>
      </w:r>
    </w:p>
    <w:p w:rsidR="00484ABE" w:rsidRDefault="00484ABE" w:rsidP="00484ABE">
      <w:pPr>
        <w:spacing w:after="0" w:line="240" w:lineRule="auto"/>
        <w:jc w:val="both"/>
        <w:rPr>
          <w:szCs w:val="24"/>
        </w:rPr>
      </w:pPr>
      <w:r w:rsidRPr="00466960">
        <w:rPr>
          <w:rFonts w:eastAsia="Times New Roman"/>
          <w:szCs w:val="24"/>
        </w:rPr>
        <w:t xml:space="preserve">Appropriate action should be taken </w:t>
      </w:r>
      <w:r>
        <w:rPr>
          <w:szCs w:val="24"/>
        </w:rPr>
        <w:t xml:space="preserve">to reinstate </w:t>
      </w:r>
      <w:r w:rsidRPr="003E51F5">
        <w:rPr>
          <w:szCs w:val="24"/>
        </w:rPr>
        <w:t xml:space="preserve">both </w:t>
      </w:r>
      <w:r>
        <w:rPr>
          <w:szCs w:val="24"/>
        </w:rPr>
        <w:t>C</w:t>
      </w:r>
      <w:r w:rsidRPr="003E51F5">
        <w:rPr>
          <w:szCs w:val="24"/>
        </w:rPr>
        <w:t>ompanies and “</w:t>
      </w:r>
      <w:proofErr w:type="spellStart"/>
      <w:r w:rsidRPr="00466960">
        <w:rPr>
          <w:i/>
          <w:szCs w:val="24"/>
        </w:rPr>
        <w:t>Saisie</w:t>
      </w:r>
      <w:proofErr w:type="spellEnd"/>
      <w:r w:rsidRPr="00466960">
        <w:rPr>
          <w:i/>
          <w:szCs w:val="24"/>
        </w:rPr>
        <w:t xml:space="preserve"> Conservatoire”</w:t>
      </w:r>
      <w:r w:rsidRPr="003E51F5">
        <w:rPr>
          <w:szCs w:val="24"/>
        </w:rPr>
        <w:t xml:space="preserve"> of the yacht </w:t>
      </w:r>
      <w:r>
        <w:rPr>
          <w:szCs w:val="24"/>
        </w:rPr>
        <w:t>applied</w:t>
      </w:r>
      <w:r>
        <w:rPr>
          <w:rFonts w:eastAsia="Times New Roman"/>
          <w:szCs w:val="24"/>
        </w:rPr>
        <w:t xml:space="preserve"> to avoid further delay in </w:t>
      </w:r>
      <w:r w:rsidRPr="00466960">
        <w:rPr>
          <w:rFonts w:eastAsia="Times New Roman"/>
          <w:szCs w:val="24"/>
        </w:rPr>
        <w:t xml:space="preserve">recovery of the </w:t>
      </w:r>
      <w:r>
        <w:rPr>
          <w:rFonts w:eastAsia="Times New Roman"/>
          <w:szCs w:val="24"/>
        </w:rPr>
        <w:t>outstanding amount</w:t>
      </w:r>
      <w:r w:rsidRPr="00466960">
        <w:rPr>
          <w:rFonts w:eastAsia="Times New Roman"/>
          <w:szCs w:val="24"/>
        </w:rPr>
        <w:t xml:space="preserve">. </w:t>
      </w:r>
    </w:p>
    <w:p w:rsidR="00484ABE" w:rsidRPr="00AA2B4E" w:rsidRDefault="00484ABE" w:rsidP="00484ABE">
      <w:pPr>
        <w:spacing w:after="0" w:line="240" w:lineRule="auto"/>
        <w:jc w:val="both"/>
        <w:rPr>
          <w:szCs w:val="24"/>
        </w:rPr>
      </w:pPr>
    </w:p>
    <w:p w:rsidR="00484ABE" w:rsidRPr="00B85700" w:rsidRDefault="00484ABE" w:rsidP="00484ABE">
      <w:pPr>
        <w:tabs>
          <w:tab w:val="left" w:pos="914"/>
        </w:tabs>
        <w:spacing w:after="0" w:line="240" w:lineRule="auto"/>
        <w:jc w:val="both"/>
        <w:rPr>
          <w:b/>
          <w:i/>
          <w:szCs w:val="24"/>
        </w:rPr>
      </w:pPr>
      <w:r w:rsidRPr="00B85700">
        <w:rPr>
          <w:b/>
          <w:i/>
          <w:szCs w:val="24"/>
        </w:rPr>
        <w:t>Management’s Reply</w:t>
      </w:r>
    </w:p>
    <w:p w:rsidR="00484ABE" w:rsidRPr="008B6556" w:rsidRDefault="00484ABE" w:rsidP="00484ABE">
      <w:pPr>
        <w:tabs>
          <w:tab w:val="left" w:pos="914"/>
        </w:tabs>
        <w:spacing w:after="0" w:line="240" w:lineRule="auto"/>
        <w:jc w:val="both"/>
        <w:rPr>
          <w:szCs w:val="24"/>
        </w:rPr>
      </w:pPr>
    </w:p>
    <w:p w:rsidR="00484ABE" w:rsidRPr="008B6556" w:rsidRDefault="00484ABE" w:rsidP="00484ABE">
      <w:pPr>
        <w:tabs>
          <w:tab w:val="left" w:pos="914"/>
        </w:tabs>
        <w:spacing w:after="0" w:line="240" w:lineRule="auto"/>
        <w:jc w:val="both"/>
        <w:rPr>
          <w:spacing w:val="1"/>
          <w:szCs w:val="24"/>
        </w:rPr>
      </w:pPr>
      <w:r w:rsidRPr="008B6556">
        <w:rPr>
          <w:szCs w:val="24"/>
        </w:rPr>
        <w:t>On</w:t>
      </w:r>
      <w:r w:rsidRPr="008B6556">
        <w:rPr>
          <w:spacing w:val="9"/>
          <w:szCs w:val="24"/>
        </w:rPr>
        <w:t xml:space="preserve"> </w:t>
      </w:r>
      <w:r w:rsidRPr="008B6556">
        <w:rPr>
          <w:szCs w:val="24"/>
        </w:rPr>
        <w:t>30</w:t>
      </w:r>
      <w:r w:rsidRPr="008B6556">
        <w:rPr>
          <w:spacing w:val="8"/>
          <w:szCs w:val="24"/>
        </w:rPr>
        <w:t xml:space="preserve"> </w:t>
      </w:r>
      <w:r w:rsidRPr="008B6556">
        <w:rPr>
          <w:szCs w:val="24"/>
        </w:rPr>
        <w:t>Oc</w:t>
      </w:r>
      <w:r w:rsidRPr="008B6556">
        <w:rPr>
          <w:spacing w:val="-2"/>
          <w:szCs w:val="24"/>
        </w:rPr>
        <w:t>t</w:t>
      </w:r>
      <w:r w:rsidRPr="008B6556">
        <w:rPr>
          <w:spacing w:val="1"/>
          <w:szCs w:val="24"/>
        </w:rPr>
        <w:t>o</w:t>
      </w:r>
      <w:r w:rsidRPr="008B6556">
        <w:rPr>
          <w:spacing w:val="-1"/>
          <w:szCs w:val="24"/>
        </w:rPr>
        <w:t>b</w:t>
      </w:r>
      <w:r w:rsidRPr="008B6556">
        <w:rPr>
          <w:szCs w:val="24"/>
        </w:rPr>
        <w:t>er</w:t>
      </w:r>
      <w:r w:rsidRPr="008B6556">
        <w:rPr>
          <w:spacing w:val="8"/>
          <w:szCs w:val="24"/>
        </w:rPr>
        <w:t xml:space="preserve"> </w:t>
      </w:r>
      <w:r w:rsidRPr="008B6556">
        <w:rPr>
          <w:spacing w:val="-2"/>
          <w:szCs w:val="24"/>
        </w:rPr>
        <w:t>2</w:t>
      </w:r>
      <w:r w:rsidRPr="008B6556">
        <w:rPr>
          <w:szCs w:val="24"/>
        </w:rPr>
        <w:t>0</w:t>
      </w:r>
      <w:r w:rsidRPr="008B6556">
        <w:rPr>
          <w:spacing w:val="-2"/>
          <w:szCs w:val="24"/>
        </w:rPr>
        <w:t>1</w:t>
      </w:r>
      <w:r w:rsidRPr="008B6556">
        <w:rPr>
          <w:szCs w:val="24"/>
        </w:rPr>
        <w:t>7,</w:t>
      </w:r>
      <w:r w:rsidRPr="008B6556">
        <w:rPr>
          <w:spacing w:val="10"/>
          <w:szCs w:val="24"/>
        </w:rPr>
        <w:t xml:space="preserve"> </w:t>
      </w:r>
      <w:r>
        <w:rPr>
          <w:szCs w:val="24"/>
        </w:rPr>
        <w:t>the State Law Office (SLO)</w:t>
      </w:r>
      <w:r>
        <w:rPr>
          <w:spacing w:val="7"/>
          <w:szCs w:val="24"/>
        </w:rPr>
        <w:t xml:space="preserve"> </w:t>
      </w:r>
      <w:r w:rsidRPr="008B6556">
        <w:rPr>
          <w:spacing w:val="-1"/>
          <w:szCs w:val="24"/>
        </w:rPr>
        <w:t>h</w:t>
      </w:r>
      <w:r w:rsidRPr="008B6556">
        <w:rPr>
          <w:szCs w:val="24"/>
        </w:rPr>
        <w:t>as</w:t>
      </w:r>
      <w:r w:rsidRPr="008B6556">
        <w:rPr>
          <w:spacing w:val="9"/>
          <w:szCs w:val="24"/>
        </w:rPr>
        <w:t xml:space="preserve"> </w:t>
      </w:r>
      <w:r w:rsidRPr="008B6556">
        <w:rPr>
          <w:spacing w:val="-1"/>
          <w:szCs w:val="24"/>
        </w:rPr>
        <w:t>b</w:t>
      </w:r>
      <w:r w:rsidRPr="008B6556">
        <w:rPr>
          <w:szCs w:val="24"/>
        </w:rPr>
        <w:t>een</w:t>
      </w:r>
      <w:r w:rsidRPr="008B6556">
        <w:rPr>
          <w:spacing w:val="9"/>
          <w:szCs w:val="24"/>
        </w:rPr>
        <w:t xml:space="preserve"> </w:t>
      </w:r>
      <w:r w:rsidRPr="008B6556">
        <w:rPr>
          <w:szCs w:val="24"/>
        </w:rPr>
        <w:t>req</w:t>
      </w:r>
      <w:r w:rsidRPr="008B6556">
        <w:rPr>
          <w:spacing w:val="-2"/>
          <w:szCs w:val="24"/>
        </w:rPr>
        <w:t>ue</w:t>
      </w:r>
      <w:r w:rsidRPr="008B6556">
        <w:rPr>
          <w:szCs w:val="24"/>
        </w:rPr>
        <w:t>sted</w:t>
      </w:r>
      <w:r w:rsidRPr="008B6556">
        <w:rPr>
          <w:spacing w:val="6"/>
          <w:szCs w:val="24"/>
        </w:rPr>
        <w:t xml:space="preserve"> </w:t>
      </w:r>
      <w:r w:rsidRPr="008B6556">
        <w:rPr>
          <w:szCs w:val="24"/>
        </w:rPr>
        <w:t>to</w:t>
      </w:r>
      <w:r w:rsidRPr="008B6556">
        <w:rPr>
          <w:spacing w:val="9"/>
          <w:szCs w:val="24"/>
        </w:rPr>
        <w:t xml:space="preserve"> </w:t>
      </w:r>
      <w:r w:rsidRPr="008B6556">
        <w:rPr>
          <w:spacing w:val="-1"/>
          <w:szCs w:val="24"/>
        </w:rPr>
        <w:t>p</w:t>
      </w:r>
      <w:r w:rsidRPr="008B6556">
        <w:rPr>
          <w:szCs w:val="24"/>
        </w:rPr>
        <w:t>r</w:t>
      </w:r>
      <w:r w:rsidRPr="008B6556">
        <w:rPr>
          <w:spacing w:val="-2"/>
          <w:szCs w:val="24"/>
        </w:rPr>
        <w:t>o</w:t>
      </w:r>
      <w:r w:rsidRPr="008B6556">
        <w:rPr>
          <w:szCs w:val="24"/>
        </w:rPr>
        <w:t>vi</w:t>
      </w:r>
      <w:r w:rsidRPr="008B6556">
        <w:rPr>
          <w:spacing w:val="-2"/>
          <w:szCs w:val="24"/>
        </w:rPr>
        <w:t>d</w:t>
      </w:r>
      <w:r w:rsidRPr="008B6556">
        <w:rPr>
          <w:szCs w:val="24"/>
        </w:rPr>
        <w:t>e</w:t>
      </w:r>
      <w:r w:rsidRPr="008B6556">
        <w:rPr>
          <w:spacing w:val="10"/>
          <w:szCs w:val="24"/>
        </w:rPr>
        <w:t xml:space="preserve"> </w:t>
      </w:r>
      <w:r w:rsidRPr="008B6556">
        <w:rPr>
          <w:szCs w:val="24"/>
        </w:rPr>
        <w:t>an</w:t>
      </w:r>
      <w:r w:rsidRPr="008B6556">
        <w:rPr>
          <w:spacing w:val="9"/>
          <w:szCs w:val="24"/>
        </w:rPr>
        <w:t xml:space="preserve"> </w:t>
      </w:r>
      <w:r w:rsidRPr="008B6556">
        <w:rPr>
          <w:spacing w:val="-1"/>
          <w:szCs w:val="24"/>
        </w:rPr>
        <w:t>upd</w:t>
      </w:r>
      <w:r w:rsidRPr="008B6556">
        <w:rPr>
          <w:szCs w:val="24"/>
        </w:rPr>
        <w:t>ate</w:t>
      </w:r>
      <w:r w:rsidRPr="008B6556">
        <w:rPr>
          <w:spacing w:val="8"/>
          <w:szCs w:val="24"/>
        </w:rPr>
        <w:t xml:space="preserve"> </w:t>
      </w:r>
      <w:r w:rsidRPr="008B6556">
        <w:rPr>
          <w:spacing w:val="1"/>
          <w:szCs w:val="24"/>
        </w:rPr>
        <w:t>o</w:t>
      </w:r>
      <w:r w:rsidRPr="008B6556">
        <w:rPr>
          <w:szCs w:val="24"/>
        </w:rPr>
        <w:t>f</w:t>
      </w:r>
      <w:r w:rsidRPr="008B6556">
        <w:rPr>
          <w:spacing w:val="7"/>
          <w:szCs w:val="24"/>
        </w:rPr>
        <w:t xml:space="preserve"> </w:t>
      </w:r>
      <w:r w:rsidRPr="008B6556">
        <w:rPr>
          <w:szCs w:val="24"/>
        </w:rPr>
        <w:t>the</w:t>
      </w:r>
      <w:r w:rsidRPr="008B6556">
        <w:rPr>
          <w:spacing w:val="10"/>
          <w:szCs w:val="24"/>
        </w:rPr>
        <w:t xml:space="preserve"> </w:t>
      </w:r>
      <w:r w:rsidRPr="008B6556">
        <w:rPr>
          <w:spacing w:val="-3"/>
          <w:szCs w:val="24"/>
        </w:rPr>
        <w:t>s</w:t>
      </w:r>
      <w:r w:rsidRPr="008B6556">
        <w:rPr>
          <w:szCs w:val="24"/>
        </w:rPr>
        <w:t>ta</w:t>
      </w:r>
      <w:r w:rsidRPr="008B6556">
        <w:rPr>
          <w:spacing w:val="-2"/>
          <w:szCs w:val="24"/>
        </w:rPr>
        <w:t>t</w:t>
      </w:r>
      <w:r w:rsidRPr="008B6556">
        <w:rPr>
          <w:spacing w:val="-1"/>
          <w:szCs w:val="24"/>
        </w:rPr>
        <w:t>u</w:t>
      </w:r>
      <w:r w:rsidRPr="008B6556">
        <w:rPr>
          <w:szCs w:val="24"/>
        </w:rPr>
        <w:t>s</w:t>
      </w:r>
      <w:r w:rsidRPr="008B6556">
        <w:rPr>
          <w:spacing w:val="10"/>
          <w:szCs w:val="24"/>
        </w:rPr>
        <w:t xml:space="preserve"> </w:t>
      </w:r>
      <w:r w:rsidRPr="008B6556">
        <w:rPr>
          <w:spacing w:val="1"/>
          <w:szCs w:val="24"/>
        </w:rPr>
        <w:t>o</w:t>
      </w:r>
      <w:r w:rsidRPr="008B6556">
        <w:rPr>
          <w:szCs w:val="24"/>
        </w:rPr>
        <w:t>f</w:t>
      </w:r>
      <w:r w:rsidRPr="008B6556">
        <w:rPr>
          <w:spacing w:val="9"/>
          <w:szCs w:val="24"/>
        </w:rPr>
        <w:t xml:space="preserve"> </w:t>
      </w:r>
      <w:r w:rsidRPr="008B6556">
        <w:rPr>
          <w:szCs w:val="24"/>
        </w:rPr>
        <w:t>t</w:t>
      </w:r>
      <w:r w:rsidRPr="008B6556">
        <w:rPr>
          <w:spacing w:val="-3"/>
          <w:szCs w:val="24"/>
        </w:rPr>
        <w:t>h</w:t>
      </w:r>
      <w:r w:rsidRPr="008B6556">
        <w:rPr>
          <w:szCs w:val="24"/>
        </w:rPr>
        <w:t>e</w:t>
      </w:r>
      <w:r w:rsidRPr="008B6556">
        <w:rPr>
          <w:spacing w:val="10"/>
          <w:szCs w:val="24"/>
        </w:rPr>
        <w:t xml:space="preserve"> </w:t>
      </w:r>
      <w:r>
        <w:rPr>
          <w:spacing w:val="-3"/>
          <w:szCs w:val="24"/>
        </w:rPr>
        <w:t>C</w:t>
      </w:r>
      <w:r w:rsidRPr="008B6556">
        <w:rPr>
          <w:spacing w:val="-2"/>
          <w:szCs w:val="24"/>
        </w:rPr>
        <w:t>o</w:t>
      </w:r>
      <w:r w:rsidRPr="008B6556">
        <w:rPr>
          <w:szCs w:val="24"/>
        </w:rPr>
        <w:t>m</w:t>
      </w:r>
      <w:r w:rsidRPr="008B6556">
        <w:rPr>
          <w:spacing w:val="-1"/>
          <w:szCs w:val="24"/>
        </w:rPr>
        <w:t>p</w:t>
      </w:r>
      <w:r w:rsidRPr="008B6556">
        <w:rPr>
          <w:szCs w:val="24"/>
        </w:rPr>
        <w:t>a</w:t>
      </w:r>
      <w:r w:rsidRPr="008B6556">
        <w:rPr>
          <w:spacing w:val="-1"/>
          <w:szCs w:val="24"/>
        </w:rPr>
        <w:t>n</w:t>
      </w:r>
      <w:r w:rsidRPr="008B6556">
        <w:rPr>
          <w:szCs w:val="24"/>
        </w:rPr>
        <w:t>y</w:t>
      </w:r>
      <w:r>
        <w:rPr>
          <w:szCs w:val="24"/>
        </w:rPr>
        <w:t>. The SLO</w:t>
      </w:r>
      <w:r w:rsidRPr="008B6556">
        <w:rPr>
          <w:spacing w:val="9"/>
          <w:szCs w:val="24"/>
        </w:rPr>
        <w:t xml:space="preserve"> </w:t>
      </w:r>
      <w:r w:rsidRPr="008B6556">
        <w:rPr>
          <w:szCs w:val="24"/>
        </w:rPr>
        <w:t>i</w:t>
      </w:r>
      <w:r w:rsidRPr="008B6556">
        <w:rPr>
          <w:spacing w:val="-2"/>
          <w:szCs w:val="24"/>
        </w:rPr>
        <w:t>n</w:t>
      </w:r>
      <w:r w:rsidRPr="008B6556">
        <w:rPr>
          <w:szCs w:val="24"/>
        </w:rPr>
        <w:t>fo</w:t>
      </w:r>
      <w:r w:rsidRPr="008B6556">
        <w:rPr>
          <w:spacing w:val="-3"/>
          <w:szCs w:val="24"/>
        </w:rPr>
        <w:t>r</w:t>
      </w:r>
      <w:r w:rsidRPr="008B6556">
        <w:rPr>
          <w:szCs w:val="24"/>
        </w:rPr>
        <w:t>m</w:t>
      </w:r>
      <w:r w:rsidRPr="008B6556">
        <w:rPr>
          <w:spacing w:val="-2"/>
          <w:szCs w:val="24"/>
        </w:rPr>
        <w:t>e</w:t>
      </w:r>
      <w:r w:rsidRPr="008B6556">
        <w:rPr>
          <w:szCs w:val="24"/>
        </w:rPr>
        <w:t>d that</w:t>
      </w:r>
      <w:r w:rsidRPr="008B6556">
        <w:rPr>
          <w:spacing w:val="5"/>
          <w:szCs w:val="24"/>
        </w:rPr>
        <w:t xml:space="preserve"> </w:t>
      </w:r>
      <w:r w:rsidRPr="008B6556">
        <w:rPr>
          <w:szCs w:val="24"/>
        </w:rPr>
        <w:t>i</w:t>
      </w:r>
      <w:r w:rsidRPr="008B6556">
        <w:rPr>
          <w:spacing w:val="-2"/>
          <w:szCs w:val="24"/>
        </w:rPr>
        <w:t>n</w:t>
      </w:r>
      <w:r w:rsidRPr="008B6556">
        <w:rPr>
          <w:szCs w:val="24"/>
        </w:rPr>
        <w:t>fo</w:t>
      </w:r>
      <w:r w:rsidRPr="008B6556">
        <w:rPr>
          <w:spacing w:val="-3"/>
          <w:szCs w:val="24"/>
        </w:rPr>
        <w:t>r</w:t>
      </w:r>
      <w:r w:rsidRPr="008B6556">
        <w:rPr>
          <w:szCs w:val="24"/>
        </w:rPr>
        <w:t>mat</w:t>
      </w:r>
      <w:r w:rsidRPr="008B6556">
        <w:rPr>
          <w:spacing w:val="-3"/>
          <w:szCs w:val="24"/>
        </w:rPr>
        <w:t>i</w:t>
      </w:r>
      <w:r w:rsidRPr="008B6556">
        <w:rPr>
          <w:spacing w:val="1"/>
          <w:szCs w:val="24"/>
        </w:rPr>
        <w:t>o</w:t>
      </w:r>
      <w:r w:rsidRPr="008B6556">
        <w:rPr>
          <w:szCs w:val="24"/>
        </w:rPr>
        <w:t>n</w:t>
      </w:r>
      <w:r w:rsidRPr="008B6556">
        <w:rPr>
          <w:spacing w:val="4"/>
          <w:szCs w:val="24"/>
        </w:rPr>
        <w:t xml:space="preserve"> </w:t>
      </w:r>
      <w:r w:rsidRPr="008B6556">
        <w:rPr>
          <w:spacing w:val="-1"/>
          <w:szCs w:val="24"/>
        </w:rPr>
        <w:t>p</w:t>
      </w:r>
      <w:r w:rsidRPr="008B6556">
        <w:rPr>
          <w:szCs w:val="24"/>
        </w:rPr>
        <w:t>r</w:t>
      </w:r>
      <w:r w:rsidRPr="008B6556">
        <w:rPr>
          <w:spacing w:val="-2"/>
          <w:szCs w:val="24"/>
        </w:rPr>
        <w:t>o</w:t>
      </w:r>
      <w:r w:rsidRPr="008B6556">
        <w:rPr>
          <w:szCs w:val="24"/>
        </w:rPr>
        <w:t>vi</w:t>
      </w:r>
      <w:r w:rsidRPr="008B6556">
        <w:rPr>
          <w:spacing w:val="-2"/>
          <w:szCs w:val="24"/>
        </w:rPr>
        <w:t>d</w:t>
      </w:r>
      <w:r w:rsidRPr="008B6556">
        <w:rPr>
          <w:szCs w:val="24"/>
        </w:rPr>
        <w:t>ed</w:t>
      </w:r>
      <w:r w:rsidRPr="008B6556">
        <w:rPr>
          <w:spacing w:val="2"/>
          <w:szCs w:val="24"/>
        </w:rPr>
        <w:t xml:space="preserve"> </w:t>
      </w:r>
      <w:r w:rsidRPr="008B6556">
        <w:rPr>
          <w:spacing w:val="-1"/>
          <w:szCs w:val="24"/>
        </w:rPr>
        <w:t>b</w:t>
      </w:r>
      <w:r w:rsidRPr="008B6556">
        <w:rPr>
          <w:szCs w:val="24"/>
        </w:rPr>
        <w:t>y</w:t>
      </w:r>
      <w:r w:rsidRPr="008B6556">
        <w:rPr>
          <w:spacing w:val="6"/>
          <w:szCs w:val="24"/>
        </w:rPr>
        <w:t xml:space="preserve"> </w:t>
      </w:r>
      <w:r w:rsidRPr="008B6556">
        <w:rPr>
          <w:szCs w:val="24"/>
        </w:rPr>
        <w:t>MRA</w:t>
      </w:r>
      <w:r w:rsidRPr="008B6556">
        <w:rPr>
          <w:spacing w:val="4"/>
          <w:szCs w:val="24"/>
        </w:rPr>
        <w:t xml:space="preserve"> was</w:t>
      </w:r>
      <w:r w:rsidRPr="008B6556">
        <w:rPr>
          <w:spacing w:val="5"/>
          <w:szCs w:val="24"/>
        </w:rPr>
        <w:t xml:space="preserve"> </w:t>
      </w:r>
      <w:r w:rsidRPr="008B6556">
        <w:rPr>
          <w:spacing w:val="-1"/>
          <w:szCs w:val="24"/>
        </w:rPr>
        <w:t>b</w:t>
      </w:r>
      <w:r w:rsidRPr="008B6556">
        <w:rPr>
          <w:szCs w:val="24"/>
        </w:rPr>
        <w:t>ei</w:t>
      </w:r>
      <w:r w:rsidRPr="008B6556">
        <w:rPr>
          <w:spacing w:val="-1"/>
          <w:szCs w:val="24"/>
        </w:rPr>
        <w:t>n</w:t>
      </w:r>
      <w:r w:rsidRPr="008B6556">
        <w:rPr>
          <w:szCs w:val="24"/>
        </w:rPr>
        <w:t>g</w:t>
      </w:r>
      <w:r w:rsidRPr="008B6556">
        <w:rPr>
          <w:spacing w:val="4"/>
          <w:szCs w:val="24"/>
        </w:rPr>
        <w:t xml:space="preserve"> </w:t>
      </w:r>
      <w:r w:rsidRPr="008B6556">
        <w:rPr>
          <w:spacing w:val="-1"/>
          <w:szCs w:val="24"/>
        </w:rPr>
        <w:t>p</w:t>
      </w:r>
      <w:r w:rsidRPr="008B6556">
        <w:rPr>
          <w:szCs w:val="24"/>
        </w:rPr>
        <w:t>erused</w:t>
      </w:r>
      <w:r w:rsidRPr="008B6556">
        <w:rPr>
          <w:spacing w:val="4"/>
          <w:szCs w:val="24"/>
        </w:rPr>
        <w:t xml:space="preserve"> </w:t>
      </w:r>
      <w:r w:rsidRPr="008B6556">
        <w:rPr>
          <w:szCs w:val="24"/>
        </w:rPr>
        <w:t>in</w:t>
      </w:r>
      <w:r w:rsidRPr="008B6556">
        <w:rPr>
          <w:spacing w:val="1"/>
          <w:szCs w:val="24"/>
        </w:rPr>
        <w:t xml:space="preserve"> </w:t>
      </w:r>
      <w:r w:rsidRPr="008B6556">
        <w:rPr>
          <w:szCs w:val="24"/>
        </w:rPr>
        <w:t>view</w:t>
      </w:r>
      <w:r w:rsidRPr="008B6556">
        <w:rPr>
          <w:spacing w:val="3"/>
          <w:szCs w:val="24"/>
        </w:rPr>
        <w:t xml:space="preserve"> </w:t>
      </w:r>
      <w:r w:rsidRPr="008B6556">
        <w:rPr>
          <w:spacing w:val="1"/>
          <w:szCs w:val="24"/>
        </w:rPr>
        <w:t>o</w:t>
      </w:r>
      <w:r w:rsidRPr="008B6556">
        <w:rPr>
          <w:szCs w:val="24"/>
        </w:rPr>
        <w:t>f</w:t>
      </w:r>
      <w:r w:rsidRPr="008B6556">
        <w:rPr>
          <w:spacing w:val="5"/>
          <w:szCs w:val="24"/>
        </w:rPr>
        <w:t xml:space="preserve"> </w:t>
      </w:r>
      <w:r w:rsidRPr="008B6556">
        <w:rPr>
          <w:szCs w:val="24"/>
        </w:rPr>
        <w:t>the</w:t>
      </w:r>
      <w:r w:rsidRPr="008B6556">
        <w:rPr>
          <w:spacing w:val="5"/>
          <w:szCs w:val="24"/>
        </w:rPr>
        <w:t xml:space="preserve"> </w:t>
      </w:r>
      <w:r w:rsidRPr="008B6556">
        <w:rPr>
          <w:szCs w:val="24"/>
        </w:rPr>
        <w:t>i</w:t>
      </w:r>
      <w:r w:rsidRPr="008B6556">
        <w:rPr>
          <w:spacing w:val="-2"/>
          <w:szCs w:val="24"/>
        </w:rPr>
        <w:t>nt</w:t>
      </w:r>
      <w:r w:rsidRPr="008B6556">
        <w:rPr>
          <w:szCs w:val="24"/>
        </w:rPr>
        <w:t>en</w:t>
      </w:r>
      <w:r w:rsidRPr="008B6556">
        <w:rPr>
          <w:spacing w:val="-2"/>
          <w:szCs w:val="24"/>
        </w:rPr>
        <w:t>d</w:t>
      </w:r>
      <w:r w:rsidRPr="008B6556">
        <w:rPr>
          <w:szCs w:val="24"/>
        </w:rPr>
        <w:t>ed</w:t>
      </w:r>
      <w:r w:rsidRPr="008B6556">
        <w:rPr>
          <w:spacing w:val="5"/>
          <w:szCs w:val="24"/>
        </w:rPr>
        <w:t xml:space="preserve"> </w:t>
      </w:r>
      <w:r w:rsidRPr="008B6556">
        <w:rPr>
          <w:szCs w:val="24"/>
        </w:rPr>
        <w:t>a</w:t>
      </w:r>
      <w:r w:rsidRPr="008B6556">
        <w:rPr>
          <w:spacing w:val="-1"/>
          <w:szCs w:val="24"/>
        </w:rPr>
        <w:t>pp</w:t>
      </w:r>
      <w:r w:rsidRPr="008B6556">
        <w:rPr>
          <w:szCs w:val="24"/>
        </w:rPr>
        <w:t>l</w:t>
      </w:r>
      <w:r w:rsidRPr="008B6556">
        <w:rPr>
          <w:spacing w:val="-1"/>
          <w:szCs w:val="24"/>
        </w:rPr>
        <w:t>i</w:t>
      </w:r>
      <w:r w:rsidRPr="008B6556">
        <w:rPr>
          <w:szCs w:val="24"/>
        </w:rPr>
        <w:t>cati</w:t>
      </w:r>
      <w:r w:rsidRPr="008B6556">
        <w:rPr>
          <w:spacing w:val="1"/>
          <w:szCs w:val="24"/>
        </w:rPr>
        <w:t>o</w:t>
      </w:r>
      <w:r w:rsidRPr="008B6556">
        <w:rPr>
          <w:szCs w:val="24"/>
        </w:rPr>
        <w:t>n</w:t>
      </w:r>
      <w:r w:rsidRPr="008B6556">
        <w:rPr>
          <w:spacing w:val="4"/>
          <w:szCs w:val="24"/>
        </w:rPr>
        <w:t xml:space="preserve"> </w:t>
      </w:r>
      <w:r w:rsidRPr="008B6556">
        <w:rPr>
          <w:szCs w:val="24"/>
        </w:rPr>
        <w:t>a</w:t>
      </w:r>
      <w:r w:rsidRPr="008B6556">
        <w:rPr>
          <w:spacing w:val="-1"/>
          <w:szCs w:val="24"/>
        </w:rPr>
        <w:t>n</w:t>
      </w:r>
      <w:r w:rsidRPr="008B6556">
        <w:rPr>
          <w:szCs w:val="24"/>
        </w:rPr>
        <w:t>d</w:t>
      </w:r>
      <w:r w:rsidRPr="008B6556">
        <w:rPr>
          <w:spacing w:val="4"/>
          <w:szCs w:val="24"/>
        </w:rPr>
        <w:t xml:space="preserve"> </w:t>
      </w:r>
      <w:r w:rsidRPr="008B6556">
        <w:rPr>
          <w:spacing w:val="-2"/>
          <w:szCs w:val="24"/>
        </w:rPr>
        <w:t>M</w:t>
      </w:r>
      <w:r w:rsidRPr="008B6556">
        <w:rPr>
          <w:szCs w:val="24"/>
        </w:rPr>
        <w:t>RA</w:t>
      </w:r>
      <w:r w:rsidRPr="008B6556">
        <w:rPr>
          <w:spacing w:val="4"/>
          <w:szCs w:val="24"/>
        </w:rPr>
        <w:t xml:space="preserve"> </w:t>
      </w:r>
      <w:r w:rsidRPr="008B6556">
        <w:rPr>
          <w:szCs w:val="24"/>
        </w:rPr>
        <w:t>will</w:t>
      </w:r>
      <w:r w:rsidRPr="008B6556">
        <w:rPr>
          <w:spacing w:val="4"/>
          <w:szCs w:val="24"/>
        </w:rPr>
        <w:t xml:space="preserve"> </w:t>
      </w:r>
      <w:r w:rsidRPr="008B6556">
        <w:rPr>
          <w:spacing w:val="-1"/>
          <w:szCs w:val="24"/>
        </w:rPr>
        <w:t>b</w:t>
      </w:r>
      <w:r w:rsidRPr="008B6556">
        <w:rPr>
          <w:szCs w:val="24"/>
        </w:rPr>
        <w:t>e</w:t>
      </w:r>
      <w:r w:rsidRPr="008B6556">
        <w:rPr>
          <w:spacing w:val="5"/>
          <w:szCs w:val="24"/>
        </w:rPr>
        <w:t xml:space="preserve"> </w:t>
      </w:r>
      <w:r w:rsidRPr="008B6556">
        <w:rPr>
          <w:szCs w:val="24"/>
        </w:rPr>
        <w:t>i</w:t>
      </w:r>
      <w:r w:rsidRPr="008B6556">
        <w:rPr>
          <w:spacing w:val="-2"/>
          <w:szCs w:val="24"/>
        </w:rPr>
        <w:t>n</w:t>
      </w:r>
      <w:r w:rsidRPr="008B6556">
        <w:rPr>
          <w:spacing w:val="-3"/>
          <w:szCs w:val="24"/>
        </w:rPr>
        <w:t>f</w:t>
      </w:r>
      <w:r w:rsidRPr="008B6556">
        <w:rPr>
          <w:spacing w:val="1"/>
          <w:szCs w:val="24"/>
        </w:rPr>
        <w:t>o</w:t>
      </w:r>
      <w:r w:rsidRPr="008B6556">
        <w:rPr>
          <w:szCs w:val="24"/>
        </w:rPr>
        <w:t>r</w:t>
      </w:r>
      <w:r w:rsidRPr="008B6556">
        <w:rPr>
          <w:spacing w:val="-2"/>
          <w:szCs w:val="24"/>
        </w:rPr>
        <w:t>m</w:t>
      </w:r>
      <w:r w:rsidRPr="008B6556">
        <w:rPr>
          <w:szCs w:val="24"/>
        </w:rPr>
        <w:t>ed</w:t>
      </w:r>
      <w:r w:rsidRPr="008B6556">
        <w:rPr>
          <w:spacing w:val="5"/>
          <w:szCs w:val="24"/>
        </w:rPr>
        <w:t xml:space="preserve"> </w:t>
      </w:r>
      <w:r w:rsidRPr="008B6556">
        <w:rPr>
          <w:spacing w:val="1"/>
          <w:szCs w:val="24"/>
        </w:rPr>
        <w:t>o</w:t>
      </w:r>
      <w:r w:rsidRPr="008B6556">
        <w:rPr>
          <w:szCs w:val="24"/>
        </w:rPr>
        <w:t>f a</w:t>
      </w:r>
      <w:r w:rsidRPr="008B6556">
        <w:rPr>
          <w:spacing w:val="-1"/>
          <w:szCs w:val="24"/>
        </w:rPr>
        <w:t>n</w:t>
      </w:r>
      <w:r w:rsidRPr="008B6556">
        <w:rPr>
          <w:szCs w:val="24"/>
        </w:rPr>
        <w:t>y d</w:t>
      </w:r>
      <w:r w:rsidRPr="008B6556">
        <w:rPr>
          <w:spacing w:val="-3"/>
          <w:szCs w:val="24"/>
        </w:rPr>
        <w:t>e</w:t>
      </w:r>
      <w:r w:rsidRPr="008B6556">
        <w:rPr>
          <w:szCs w:val="24"/>
        </w:rPr>
        <w:t>ve</w:t>
      </w:r>
      <w:r w:rsidRPr="008B6556">
        <w:rPr>
          <w:spacing w:val="-3"/>
          <w:szCs w:val="24"/>
        </w:rPr>
        <w:t>l</w:t>
      </w:r>
      <w:r w:rsidRPr="008B6556">
        <w:rPr>
          <w:spacing w:val="1"/>
          <w:szCs w:val="24"/>
        </w:rPr>
        <w:t>o</w:t>
      </w:r>
      <w:r w:rsidRPr="008B6556">
        <w:rPr>
          <w:spacing w:val="-1"/>
          <w:szCs w:val="24"/>
        </w:rPr>
        <w:t>p</w:t>
      </w:r>
      <w:r w:rsidRPr="008B6556">
        <w:rPr>
          <w:spacing w:val="-2"/>
          <w:szCs w:val="24"/>
        </w:rPr>
        <w:t>m</w:t>
      </w:r>
      <w:r w:rsidRPr="008B6556">
        <w:rPr>
          <w:szCs w:val="24"/>
        </w:rPr>
        <w:t>ent.</w:t>
      </w:r>
      <w:r w:rsidRPr="008B6556">
        <w:rPr>
          <w:spacing w:val="1"/>
          <w:szCs w:val="24"/>
        </w:rPr>
        <w:t xml:space="preserve"> </w:t>
      </w:r>
    </w:p>
    <w:p w:rsidR="00484ABE" w:rsidRDefault="00484ABE" w:rsidP="00484ABE">
      <w:pPr>
        <w:spacing w:after="0" w:line="240" w:lineRule="auto"/>
        <w:jc w:val="both"/>
      </w:pPr>
    </w:p>
    <w:p w:rsidR="00735A1A" w:rsidRPr="00735A1A" w:rsidRDefault="00735A1A" w:rsidP="00735A1A">
      <w:pPr>
        <w:autoSpaceDE w:val="0"/>
        <w:autoSpaceDN w:val="0"/>
        <w:adjustRightInd w:val="0"/>
        <w:spacing w:after="0" w:line="240" w:lineRule="auto"/>
        <w:jc w:val="both"/>
        <w:rPr>
          <w:szCs w:val="24"/>
          <w:lang w:val="en-GB"/>
        </w:rPr>
      </w:pPr>
      <w:r w:rsidRPr="00735A1A">
        <w:rPr>
          <w:szCs w:val="24"/>
          <w:lang w:val="en-GB"/>
        </w:rPr>
        <w:t xml:space="preserve">On 30 January 2018, a further update of the status of the Company has been requested from the SLO. </w:t>
      </w:r>
    </w:p>
    <w:p w:rsidR="00A82AE4" w:rsidRDefault="00A82AE4" w:rsidP="00484ABE">
      <w:pPr>
        <w:spacing w:after="0" w:line="240" w:lineRule="auto"/>
        <w:jc w:val="both"/>
      </w:pPr>
    </w:p>
    <w:p w:rsidR="00794249" w:rsidRDefault="00794249" w:rsidP="00484ABE">
      <w:pPr>
        <w:spacing w:after="0" w:line="240" w:lineRule="auto"/>
        <w:jc w:val="both"/>
        <w:rPr>
          <w:b/>
          <w:szCs w:val="24"/>
        </w:rPr>
      </w:pPr>
    </w:p>
    <w:p w:rsidR="00484ABE" w:rsidRPr="005517C5" w:rsidRDefault="00DE09C2" w:rsidP="00484ABE">
      <w:pPr>
        <w:spacing w:after="0" w:line="240" w:lineRule="auto"/>
        <w:jc w:val="both"/>
        <w:rPr>
          <w:b/>
          <w:szCs w:val="24"/>
        </w:rPr>
      </w:pPr>
      <w:r>
        <w:rPr>
          <w:b/>
          <w:szCs w:val="24"/>
        </w:rPr>
        <w:t>6.6</w:t>
      </w:r>
      <w:r w:rsidR="00484ABE">
        <w:rPr>
          <w:b/>
          <w:szCs w:val="24"/>
        </w:rPr>
        <w:tab/>
      </w:r>
      <w:r w:rsidR="00484ABE" w:rsidRPr="005517C5">
        <w:rPr>
          <w:b/>
          <w:szCs w:val="24"/>
        </w:rPr>
        <w:t>Overlying Vehicles</w:t>
      </w:r>
      <w:r w:rsidR="00484ABE" w:rsidRPr="00FF586E">
        <w:rPr>
          <w:b/>
          <w:szCs w:val="24"/>
        </w:rPr>
        <w:t xml:space="preserve"> </w:t>
      </w:r>
      <w:r w:rsidR="00484ABE" w:rsidRPr="005517C5">
        <w:rPr>
          <w:b/>
          <w:szCs w:val="24"/>
        </w:rPr>
        <w:t>and Containers</w:t>
      </w:r>
    </w:p>
    <w:p w:rsidR="00484ABE" w:rsidRDefault="00484ABE" w:rsidP="00484ABE">
      <w:pPr>
        <w:spacing w:after="0" w:line="240" w:lineRule="auto"/>
        <w:jc w:val="both"/>
        <w:rPr>
          <w:szCs w:val="24"/>
        </w:rPr>
      </w:pPr>
    </w:p>
    <w:p w:rsidR="00484ABE" w:rsidRPr="00765E2D" w:rsidRDefault="00484ABE" w:rsidP="00484ABE">
      <w:pPr>
        <w:autoSpaceDE w:val="0"/>
        <w:autoSpaceDN w:val="0"/>
        <w:adjustRightInd w:val="0"/>
        <w:spacing w:after="0" w:line="240" w:lineRule="auto"/>
        <w:jc w:val="both"/>
        <w:rPr>
          <w:szCs w:val="24"/>
        </w:rPr>
      </w:pPr>
      <w:r w:rsidRPr="00765E2D">
        <w:rPr>
          <w:szCs w:val="24"/>
          <w:lang w:val="en-GB"/>
        </w:rPr>
        <w:t>As per the Customs Act “</w:t>
      </w:r>
      <w:r w:rsidRPr="00765E2D">
        <w:rPr>
          <w:i/>
          <w:iCs/>
          <w:szCs w:val="24"/>
          <w:lang w:val="en-GB"/>
        </w:rPr>
        <w:t>Where any goods are landed and are not claimed or removed within 2 months of being landed, the Director-General may cause the goods to be sold by public auction or public tender, as the Director-General may determine, after giving public notice of the sale.”</w:t>
      </w:r>
    </w:p>
    <w:p w:rsidR="00484ABE" w:rsidRDefault="00484ABE" w:rsidP="00484ABE">
      <w:pPr>
        <w:spacing w:after="0" w:line="240" w:lineRule="auto"/>
        <w:jc w:val="both"/>
        <w:rPr>
          <w:szCs w:val="24"/>
        </w:rPr>
      </w:pPr>
    </w:p>
    <w:p w:rsidR="00484ABE" w:rsidRDefault="00DE09C2" w:rsidP="00484ABE">
      <w:pPr>
        <w:pStyle w:val="ListParagraph"/>
        <w:spacing w:after="0" w:line="240" w:lineRule="auto"/>
        <w:ind w:left="0"/>
        <w:jc w:val="both"/>
        <w:rPr>
          <w:b/>
          <w:i/>
        </w:rPr>
      </w:pPr>
      <w:r>
        <w:rPr>
          <w:b/>
          <w:i/>
        </w:rPr>
        <w:t>6.6</w:t>
      </w:r>
      <w:r w:rsidR="00484ABE">
        <w:rPr>
          <w:b/>
          <w:i/>
        </w:rPr>
        <w:t>.1</w:t>
      </w:r>
      <w:r w:rsidR="00484ABE">
        <w:rPr>
          <w:b/>
          <w:i/>
        </w:rPr>
        <w:tab/>
        <w:t xml:space="preserve">Overlying </w:t>
      </w:r>
      <w:r w:rsidR="00484ABE" w:rsidRPr="0065085D">
        <w:rPr>
          <w:b/>
          <w:i/>
        </w:rPr>
        <w:t>Vehicles</w:t>
      </w:r>
    </w:p>
    <w:p w:rsidR="00484ABE" w:rsidRDefault="00484ABE" w:rsidP="00484ABE">
      <w:pPr>
        <w:spacing w:after="0" w:line="240" w:lineRule="auto"/>
        <w:jc w:val="both"/>
        <w:rPr>
          <w:szCs w:val="24"/>
        </w:rPr>
      </w:pPr>
    </w:p>
    <w:p w:rsidR="001E56BF" w:rsidRPr="001E56BF" w:rsidRDefault="004A710B" w:rsidP="001E56BF">
      <w:pPr>
        <w:spacing w:after="0" w:line="240" w:lineRule="auto"/>
        <w:contextualSpacing/>
        <w:jc w:val="both"/>
        <w:rPr>
          <w:rFonts w:eastAsia="Times New Roman"/>
          <w:i/>
          <w:color w:val="000000"/>
          <w:szCs w:val="24"/>
        </w:rPr>
      </w:pPr>
      <w:r>
        <w:rPr>
          <w:i/>
          <w:color w:val="000000"/>
          <w:szCs w:val="24"/>
        </w:rPr>
        <w:t xml:space="preserve">At </w:t>
      </w:r>
      <w:r w:rsidR="001E56BF" w:rsidRPr="001E56BF">
        <w:rPr>
          <w:i/>
          <w:color w:val="000000"/>
          <w:szCs w:val="24"/>
        </w:rPr>
        <w:t>Mauritius Multipurpose Terminal</w:t>
      </w:r>
    </w:p>
    <w:p w:rsidR="001E56BF" w:rsidRPr="001E56BF" w:rsidRDefault="001E56BF" w:rsidP="001E56BF">
      <w:pPr>
        <w:spacing w:after="0" w:line="240" w:lineRule="auto"/>
        <w:rPr>
          <w:color w:val="000000"/>
          <w:szCs w:val="24"/>
          <w:lang w:val="en-GB"/>
        </w:rPr>
      </w:pPr>
    </w:p>
    <w:p w:rsidR="001E56BF" w:rsidRPr="001E56BF" w:rsidRDefault="001E56BF" w:rsidP="001E56BF">
      <w:pPr>
        <w:spacing w:after="0" w:line="240" w:lineRule="auto"/>
        <w:jc w:val="both"/>
        <w:rPr>
          <w:color w:val="000000"/>
          <w:szCs w:val="24"/>
          <w:lang w:val="en-GB"/>
        </w:rPr>
      </w:pPr>
      <w:r w:rsidRPr="001E56BF">
        <w:rPr>
          <w:color w:val="000000"/>
          <w:szCs w:val="24"/>
          <w:lang w:val="en-GB"/>
        </w:rPr>
        <w:t xml:space="preserve">During a visit effected by my Officers on 19 September 2017, four cars were seen in deplorable state at </w:t>
      </w:r>
      <w:r w:rsidRPr="001E56BF">
        <w:rPr>
          <w:color w:val="000000"/>
          <w:lang w:val="en-GB"/>
        </w:rPr>
        <w:t>Mauritius Multipurpose Terminal (MPT), t</w:t>
      </w:r>
      <w:r w:rsidRPr="001E56BF">
        <w:rPr>
          <w:color w:val="000000"/>
          <w:szCs w:val="24"/>
          <w:lang w:val="en-GB"/>
        </w:rPr>
        <w:t xml:space="preserve">hree of which were imported during period May 2013 to December 2015. </w:t>
      </w:r>
      <w:r w:rsidRPr="001E56BF">
        <w:rPr>
          <w:color w:val="000000"/>
          <w:lang w:val="en-GB"/>
        </w:rPr>
        <w:t>There was no information in the Customs Management System (CMS) in respect of the fourth car (</w:t>
      </w:r>
      <w:r w:rsidRPr="001E56BF">
        <w:rPr>
          <w:i/>
          <w:color w:val="000000"/>
          <w:lang w:val="en-GB"/>
        </w:rPr>
        <w:t>Toyota Starlet</w:t>
      </w:r>
      <w:r w:rsidRPr="001E56BF">
        <w:rPr>
          <w:color w:val="000000"/>
          <w:lang w:val="en-GB"/>
        </w:rPr>
        <w:t xml:space="preserve">). </w:t>
      </w:r>
      <w:r w:rsidRPr="001E56BF">
        <w:rPr>
          <w:color w:val="000000"/>
          <w:szCs w:val="24"/>
          <w:lang w:val="en-GB"/>
        </w:rPr>
        <w:t>They have not been transferred to the Customs Warehouse, in compliance with the Customs Act.</w:t>
      </w:r>
    </w:p>
    <w:p w:rsidR="00484ABE" w:rsidRDefault="00484ABE" w:rsidP="00794249">
      <w:pPr>
        <w:spacing w:after="0" w:line="240" w:lineRule="auto"/>
        <w:jc w:val="both"/>
        <w:rPr>
          <w:i/>
          <w:szCs w:val="24"/>
        </w:rPr>
      </w:pPr>
    </w:p>
    <w:p w:rsidR="00484ABE" w:rsidRPr="00B84C44" w:rsidRDefault="00484ABE" w:rsidP="00484ABE">
      <w:pPr>
        <w:spacing w:after="0" w:line="240" w:lineRule="auto"/>
        <w:jc w:val="both"/>
        <w:rPr>
          <w:i/>
          <w:szCs w:val="24"/>
          <w:lang w:val="en-GB"/>
        </w:rPr>
      </w:pPr>
      <w:r w:rsidRPr="00B84C44">
        <w:rPr>
          <w:i/>
          <w:szCs w:val="24"/>
        </w:rPr>
        <w:t xml:space="preserve">At </w:t>
      </w:r>
      <w:r w:rsidRPr="00B84C44">
        <w:rPr>
          <w:i/>
          <w:szCs w:val="24"/>
          <w:lang w:val="en-GB"/>
        </w:rPr>
        <w:t>Freight Stations</w:t>
      </w:r>
    </w:p>
    <w:p w:rsidR="00484ABE" w:rsidRPr="00804191" w:rsidRDefault="00484ABE" w:rsidP="00484ABE">
      <w:pPr>
        <w:pStyle w:val="ListParagraph"/>
        <w:spacing w:after="0" w:line="240" w:lineRule="auto"/>
        <w:ind w:left="0"/>
        <w:jc w:val="both"/>
        <w:rPr>
          <w:i/>
        </w:rPr>
      </w:pPr>
    </w:p>
    <w:p w:rsidR="001E56BF" w:rsidRPr="001E56BF" w:rsidRDefault="004A710B" w:rsidP="001E56BF">
      <w:pPr>
        <w:pStyle w:val="ListParagraph"/>
        <w:spacing w:after="0" w:line="240" w:lineRule="auto"/>
        <w:ind w:left="0"/>
        <w:jc w:val="both"/>
        <w:rPr>
          <w:rFonts w:eastAsia="Times New Roman"/>
          <w:color w:val="000000"/>
          <w:szCs w:val="24"/>
        </w:rPr>
      </w:pPr>
      <w:r>
        <w:t>A</w:t>
      </w:r>
      <w:r w:rsidR="00484ABE">
        <w:t xml:space="preserve">t 30 November 2017, </w:t>
      </w:r>
      <w:r w:rsidR="001E56BF">
        <w:t>10</w:t>
      </w:r>
      <w:r w:rsidR="00484ABE" w:rsidRPr="00B5712C">
        <w:t xml:space="preserve"> vehicles</w:t>
      </w:r>
      <w:r w:rsidR="00484ABE">
        <w:t xml:space="preserve"> </w:t>
      </w:r>
      <w:r w:rsidR="00484ABE" w:rsidRPr="00B5712C">
        <w:t>detained by the Commercial Fraud Unit (CFU)</w:t>
      </w:r>
      <w:r w:rsidR="00484ABE">
        <w:t>,</w:t>
      </w:r>
      <w:r w:rsidR="00484ABE" w:rsidRPr="00B5712C">
        <w:t xml:space="preserve"> were </w:t>
      </w:r>
      <w:r w:rsidR="00484ABE">
        <w:t xml:space="preserve">kept </w:t>
      </w:r>
      <w:r w:rsidR="00484ABE" w:rsidRPr="00B5712C">
        <w:t xml:space="preserve">at </w:t>
      </w:r>
      <w:r w:rsidR="00484ABE">
        <w:t>three Freight Stations</w:t>
      </w:r>
      <w:r w:rsidR="00484ABE" w:rsidRPr="00B5712C">
        <w:t xml:space="preserve"> </w:t>
      </w:r>
      <w:r w:rsidR="00484ABE">
        <w:t xml:space="preserve">since 2015. </w:t>
      </w:r>
      <w:r w:rsidR="00484ABE" w:rsidRPr="00B5712C">
        <w:rPr>
          <w:lang w:val="en-GB"/>
        </w:rPr>
        <w:t>The vehicles</w:t>
      </w:r>
      <w:r w:rsidR="00484ABE">
        <w:rPr>
          <w:lang w:val="en-GB"/>
        </w:rPr>
        <w:t xml:space="preserve"> were detained</w:t>
      </w:r>
      <w:r w:rsidR="00874F01">
        <w:rPr>
          <w:lang w:val="en-GB"/>
        </w:rPr>
        <w:t xml:space="preserve"> on ground that</w:t>
      </w:r>
      <w:r w:rsidR="00484ABE" w:rsidRPr="00B5712C">
        <w:rPr>
          <w:lang w:val="en-GB"/>
        </w:rPr>
        <w:t xml:space="preserve"> regulation</w:t>
      </w:r>
      <w:r w:rsidR="001E56BF">
        <w:rPr>
          <w:lang w:val="en-GB"/>
        </w:rPr>
        <w:t xml:space="preserve">s regarding imported vehicles </w:t>
      </w:r>
      <w:r w:rsidR="00874F01">
        <w:rPr>
          <w:lang w:val="en-GB"/>
        </w:rPr>
        <w:t>were not complied with.</w:t>
      </w:r>
      <w:r w:rsidR="003C3E99">
        <w:rPr>
          <w:lang w:val="en-GB"/>
        </w:rPr>
        <w:t xml:space="preserve"> </w:t>
      </w:r>
      <w:r w:rsidR="001E56BF" w:rsidRPr="001E56BF">
        <w:rPr>
          <w:color w:val="000000"/>
          <w:szCs w:val="24"/>
          <w:lang w:val="en-GB"/>
        </w:rPr>
        <w:t>In fact, new cars were declared as second hand in the BOE. Also, cars of less than 18 months were imported, contrary to t</w:t>
      </w:r>
      <w:r w:rsidR="001E56BF" w:rsidRPr="001E56BF">
        <w:rPr>
          <w:rFonts w:eastAsia="Times New Roman"/>
          <w:color w:val="000000"/>
          <w:szCs w:val="24"/>
        </w:rPr>
        <w:t>he Consumer</w:t>
      </w:r>
      <w:r>
        <w:rPr>
          <w:rFonts w:eastAsia="Times New Roman"/>
          <w:color w:val="000000"/>
          <w:szCs w:val="24"/>
        </w:rPr>
        <w:t xml:space="preserve"> Protection (</w:t>
      </w:r>
      <w:r w:rsidR="001E56BF" w:rsidRPr="001E56BF">
        <w:rPr>
          <w:rFonts w:eastAsia="Times New Roman"/>
          <w:color w:val="000000"/>
          <w:szCs w:val="24"/>
        </w:rPr>
        <w:t>Control</w:t>
      </w:r>
      <w:r>
        <w:rPr>
          <w:rFonts w:eastAsia="Times New Roman"/>
          <w:color w:val="000000"/>
          <w:szCs w:val="24"/>
        </w:rPr>
        <w:t xml:space="preserve"> of Imports) Regulations</w:t>
      </w:r>
      <w:r w:rsidR="001E56BF" w:rsidRPr="001E56BF">
        <w:rPr>
          <w:rFonts w:eastAsia="Times New Roman"/>
          <w:color w:val="000000"/>
          <w:szCs w:val="24"/>
        </w:rPr>
        <w:t xml:space="preserve">. </w:t>
      </w:r>
    </w:p>
    <w:p w:rsidR="00484ABE" w:rsidRDefault="00484ABE" w:rsidP="00484ABE">
      <w:pPr>
        <w:pStyle w:val="ListParagraph"/>
        <w:tabs>
          <w:tab w:val="left" w:pos="914"/>
        </w:tabs>
        <w:spacing w:after="0" w:line="240" w:lineRule="auto"/>
        <w:ind w:left="0"/>
        <w:jc w:val="both"/>
      </w:pPr>
    </w:p>
    <w:p w:rsidR="00484ABE" w:rsidRPr="005517C5" w:rsidRDefault="00484ABE" w:rsidP="00484ABE">
      <w:pPr>
        <w:pStyle w:val="ListParagraph"/>
        <w:tabs>
          <w:tab w:val="left" w:pos="914"/>
        </w:tabs>
        <w:spacing w:after="0" w:line="240" w:lineRule="auto"/>
        <w:ind w:left="0"/>
        <w:jc w:val="both"/>
        <w:rPr>
          <w:b/>
          <w:i/>
          <w:sz w:val="20"/>
          <w:szCs w:val="20"/>
        </w:rPr>
      </w:pPr>
      <w:r>
        <w:t xml:space="preserve">There was no module in CMS to cater for the </w:t>
      </w:r>
      <w:r w:rsidRPr="005517C5">
        <w:t xml:space="preserve">recording </w:t>
      </w:r>
      <w:r>
        <w:t>o</w:t>
      </w:r>
      <w:r w:rsidRPr="005517C5">
        <w:t xml:space="preserve">f detained goods. In fact, these vehicles appeared as already delivered in CMS since their duties and taxes had already </w:t>
      </w:r>
      <w:r w:rsidRPr="005517C5">
        <w:lastRenderedPageBreak/>
        <w:t xml:space="preserve">been paid. This weakness in the CMS could </w:t>
      </w:r>
      <w:r>
        <w:t xml:space="preserve">result in illegal removal of vehicles from </w:t>
      </w:r>
      <w:r w:rsidRPr="005517C5">
        <w:t xml:space="preserve">Freight Stations. </w:t>
      </w:r>
    </w:p>
    <w:p w:rsidR="00484ABE" w:rsidRDefault="00484ABE" w:rsidP="00484ABE">
      <w:pPr>
        <w:tabs>
          <w:tab w:val="left" w:pos="914"/>
        </w:tabs>
        <w:spacing w:after="0" w:line="240" w:lineRule="auto"/>
        <w:jc w:val="both"/>
        <w:rPr>
          <w:b/>
          <w:i/>
          <w:szCs w:val="24"/>
        </w:rPr>
      </w:pPr>
    </w:p>
    <w:p w:rsidR="00484ABE" w:rsidRPr="0064272E" w:rsidRDefault="00484ABE" w:rsidP="00484ABE">
      <w:pPr>
        <w:spacing w:after="0" w:line="240" w:lineRule="auto"/>
        <w:jc w:val="both"/>
        <w:rPr>
          <w:b/>
          <w:i/>
          <w:szCs w:val="24"/>
        </w:rPr>
      </w:pPr>
      <w:r w:rsidRPr="0064272E">
        <w:rPr>
          <w:b/>
          <w:i/>
          <w:szCs w:val="24"/>
        </w:rPr>
        <w:t>Recommendations</w:t>
      </w:r>
    </w:p>
    <w:p w:rsidR="00484ABE" w:rsidRPr="00B5712C" w:rsidRDefault="00484ABE" w:rsidP="00484ABE">
      <w:pPr>
        <w:spacing w:after="0" w:line="240" w:lineRule="auto"/>
        <w:jc w:val="both"/>
        <w:rPr>
          <w:i/>
          <w:szCs w:val="24"/>
        </w:rPr>
      </w:pPr>
    </w:p>
    <w:p w:rsidR="00484ABE" w:rsidRPr="00B5712C" w:rsidRDefault="00484ABE" w:rsidP="00B628CB">
      <w:pPr>
        <w:pStyle w:val="ListParagraph"/>
        <w:numPr>
          <w:ilvl w:val="0"/>
          <w:numId w:val="10"/>
        </w:numPr>
        <w:spacing w:after="0" w:line="240" w:lineRule="auto"/>
        <w:ind w:left="360" w:hanging="294"/>
        <w:jc w:val="both"/>
      </w:pPr>
      <w:r>
        <w:t>Overlying vehicles, including t</w:t>
      </w:r>
      <w:r w:rsidRPr="00B5712C">
        <w:t xml:space="preserve">he </w:t>
      </w:r>
      <w:r>
        <w:t>detained ones</w:t>
      </w:r>
      <w:r w:rsidRPr="00B5712C">
        <w:t xml:space="preserve"> should be t</w:t>
      </w:r>
      <w:r>
        <w:t>ransferred to Customs Warehouse;</w:t>
      </w:r>
    </w:p>
    <w:p w:rsidR="00484ABE" w:rsidRPr="00B5712C" w:rsidRDefault="00484ABE" w:rsidP="00794249">
      <w:pPr>
        <w:spacing w:after="0" w:line="240" w:lineRule="auto"/>
        <w:ind w:left="360" w:hanging="294"/>
        <w:jc w:val="both"/>
        <w:rPr>
          <w:i/>
          <w:szCs w:val="24"/>
        </w:rPr>
      </w:pPr>
    </w:p>
    <w:p w:rsidR="00484ABE" w:rsidRPr="0064272E" w:rsidRDefault="00484ABE" w:rsidP="00B628CB">
      <w:pPr>
        <w:pStyle w:val="ListParagraph"/>
        <w:numPr>
          <w:ilvl w:val="0"/>
          <w:numId w:val="10"/>
        </w:numPr>
        <w:spacing w:after="0" w:line="240" w:lineRule="auto"/>
        <w:ind w:left="360" w:hanging="294"/>
        <w:jc w:val="both"/>
        <w:rPr>
          <w:i/>
        </w:rPr>
      </w:pPr>
      <w:r w:rsidRPr="00B5712C">
        <w:t>The CMS should be reviewed</w:t>
      </w:r>
      <w:r>
        <w:t xml:space="preserve"> to </w:t>
      </w:r>
      <w:r w:rsidRPr="00B5712C">
        <w:t xml:space="preserve">incorporate data in respect of </w:t>
      </w:r>
      <w:r>
        <w:t xml:space="preserve">detained goods. </w:t>
      </w:r>
    </w:p>
    <w:p w:rsidR="00484ABE" w:rsidRDefault="00484ABE" w:rsidP="00484ABE">
      <w:pPr>
        <w:tabs>
          <w:tab w:val="left" w:pos="914"/>
        </w:tabs>
        <w:spacing w:after="0" w:line="240" w:lineRule="auto"/>
        <w:jc w:val="both"/>
        <w:rPr>
          <w:b/>
          <w:i/>
          <w:color w:val="FF0000"/>
          <w:sz w:val="20"/>
          <w:szCs w:val="20"/>
        </w:rPr>
      </w:pPr>
    </w:p>
    <w:p w:rsidR="00484ABE" w:rsidRPr="00DF2542" w:rsidRDefault="00484ABE" w:rsidP="00484ABE">
      <w:pPr>
        <w:tabs>
          <w:tab w:val="left" w:pos="914"/>
        </w:tabs>
        <w:spacing w:after="0" w:line="240" w:lineRule="auto"/>
        <w:jc w:val="both"/>
        <w:rPr>
          <w:b/>
          <w:i/>
          <w:szCs w:val="24"/>
        </w:rPr>
      </w:pPr>
      <w:r w:rsidRPr="00DF2542">
        <w:rPr>
          <w:b/>
          <w:i/>
          <w:szCs w:val="24"/>
        </w:rPr>
        <w:t>Management’s Reply</w:t>
      </w:r>
    </w:p>
    <w:p w:rsidR="00484ABE" w:rsidRPr="00DF2542" w:rsidRDefault="00484ABE" w:rsidP="00484ABE">
      <w:pPr>
        <w:tabs>
          <w:tab w:val="left" w:pos="914"/>
        </w:tabs>
        <w:spacing w:after="0" w:line="240" w:lineRule="auto"/>
        <w:jc w:val="both"/>
        <w:rPr>
          <w:b/>
          <w:i/>
          <w:szCs w:val="24"/>
        </w:rPr>
      </w:pPr>
    </w:p>
    <w:p w:rsidR="001E56BF" w:rsidRPr="001E56BF" w:rsidRDefault="001E56BF" w:rsidP="001E56BF">
      <w:pPr>
        <w:tabs>
          <w:tab w:val="left" w:pos="914"/>
        </w:tabs>
        <w:spacing w:after="0" w:line="240" w:lineRule="auto"/>
        <w:jc w:val="both"/>
        <w:rPr>
          <w:b/>
          <w:i/>
          <w:strike/>
          <w:color w:val="000000"/>
          <w:szCs w:val="24"/>
          <w:lang w:val="en-GB"/>
        </w:rPr>
      </w:pPr>
      <w:r w:rsidRPr="001E56BF">
        <w:rPr>
          <w:color w:val="000000"/>
          <w:szCs w:val="24"/>
          <w:lang w:val="en-GB"/>
        </w:rPr>
        <w:t>The four vehicles are subject to Court</w:t>
      </w:r>
      <w:r w:rsidR="004A710B">
        <w:rPr>
          <w:color w:val="000000"/>
          <w:szCs w:val="24"/>
          <w:lang w:val="en-GB"/>
        </w:rPr>
        <w:t xml:space="preserve"> cases, Police investigation or</w:t>
      </w:r>
      <w:r w:rsidRPr="001E56BF">
        <w:rPr>
          <w:color w:val="000000"/>
          <w:szCs w:val="24"/>
          <w:lang w:val="en-GB"/>
        </w:rPr>
        <w:t xml:space="preserve"> disposal. For safe custody of these exhibits, they have been moved from MPT to the Customs Warehouse on 15 February 2018.</w:t>
      </w:r>
    </w:p>
    <w:p w:rsidR="001E56BF" w:rsidRPr="001E56BF" w:rsidRDefault="001E56BF" w:rsidP="001E56BF">
      <w:pPr>
        <w:spacing w:after="0" w:line="240" w:lineRule="auto"/>
        <w:rPr>
          <w:color w:val="000000"/>
          <w:szCs w:val="24"/>
          <w:lang w:val="en-GB"/>
        </w:rPr>
      </w:pPr>
    </w:p>
    <w:p w:rsidR="001E56BF" w:rsidRPr="001E56BF" w:rsidRDefault="004A710B" w:rsidP="001E56BF">
      <w:pPr>
        <w:autoSpaceDE w:val="0"/>
        <w:autoSpaceDN w:val="0"/>
        <w:adjustRightInd w:val="0"/>
        <w:spacing w:after="0" w:line="240" w:lineRule="auto"/>
        <w:jc w:val="both"/>
        <w:rPr>
          <w:color w:val="000000"/>
          <w:szCs w:val="24"/>
          <w:lang w:val="en-GB"/>
        </w:rPr>
      </w:pPr>
      <w:r>
        <w:rPr>
          <w:color w:val="000000"/>
          <w:szCs w:val="24"/>
          <w:lang w:val="en-GB"/>
        </w:rPr>
        <w:t>Customs</w:t>
      </w:r>
      <w:r w:rsidR="001E56BF" w:rsidRPr="001E56BF">
        <w:rPr>
          <w:color w:val="000000"/>
          <w:szCs w:val="24"/>
          <w:lang w:val="en-GB"/>
        </w:rPr>
        <w:t xml:space="preserve"> is carrying out </w:t>
      </w:r>
      <w:r w:rsidR="00984105">
        <w:rPr>
          <w:color w:val="000000"/>
          <w:szCs w:val="24"/>
          <w:lang w:val="en-GB"/>
        </w:rPr>
        <w:t xml:space="preserve">a </w:t>
      </w:r>
      <w:r w:rsidR="001E56BF" w:rsidRPr="001E56BF">
        <w:rPr>
          <w:color w:val="000000"/>
          <w:szCs w:val="24"/>
          <w:lang w:val="en-GB"/>
        </w:rPr>
        <w:t xml:space="preserve">feasibility study with respect to the development of a </w:t>
      </w:r>
      <w:r w:rsidR="00951F36">
        <w:rPr>
          <w:color w:val="000000"/>
          <w:szCs w:val="24"/>
          <w:lang w:val="en-GB"/>
        </w:rPr>
        <w:t>“</w:t>
      </w:r>
      <w:r w:rsidR="001E56BF" w:rsidRPr="001E56BF">
        <w:rPr>
          <w:color w:val="000000"/>
          <w:szCs w:val="24"/>
          <w:lang w:val="en-GB"/>
        </w:rPr>
        <w:t>detain module</w:t>
      </w:r>
      <w:r w:rsidR="00951F36">
        <w:rPr>
          <w:color w:val="000000"/>
          <w:szCs w:val="24"/>
          <w:lang w:val="en-GB"/>
        </w:rPr>
        <w:t>”</w:t>
      </w:r>
      <w:r w:rsidR="001E56BF" w:rsidRPr="001E56BF">
        <w:rPr>
          <w:color w:val="000000"/>
          <w:szCs w:val="24"/>
          <w:lang w:val="en-GB"/>
        </w:rPr>
        <w:t xml:space="preserve"> in CMS to address this issue.</w:t>
      </w:r>
    </w:p>
    <w:p w:rsidR="001E56BF" w:rsidRPr="00FB12D4" w:rsidRDefault="001E56BF" w:rsidP="00484ABE">
      <w:pPr>
        <w:spacing w:after="0" w:line="240" w:lineRule="auto"/>
        <w:jc w:val="both"/>
        <w:rPr>
          <w:szCs w:val="24"/>
        </w:rPr>
      </w:pPr>
    </w:p>
    <w:p w:rsidR="00484ABE" w:rsidRPr="00765E2D" w:rsidRDefault="00DE09C2" w:rsidP="00484ABE">
      <w:pPr>
        <w:pStyle w:val="ListParagraph"/>
        <w:spacing w:after="0" w:line="240" w:lineRule="auto"/>
        <w:ind w:left="0"/>
        <w:jc w:val="both"/>
        <w:rPr>
          <w:b/>
          <w:i/>
        </w:rPr>
      </w:pPr>
      <w:r>
        <w:rPr>
          <w:b/>
          <w:i/>
        </w:rPr>
        <w:t>6.6</w:t>
      </w:r>
      <w:r w:rsidR="00794249">
        <w:rPr>
          <w:b/>
          <w:i/>
        </w:rPr>
        <w:t>.2</w:t>
      </w:r>
      <w:r w:rsidR="00484ABE">
        <w:rPr>
          <w:b/>
          <w:i/>
        </w:rPr>
        <w:tab/>
        <w:t xml:space="preserve">Overlying </w:t>
      </w:r>
      <w:r w:rsidR="00484ABE" w:rsidRPr="00765E2D">
        <w:rPr>
          <w:b/>
          <w:i/>
        </w:rPr>
        <w:t>Containers at Mauritius Multipurpose Terminal</w:t>
      </w:r>
    </w:p>
    <w:p w:rsidR="00484ABE" w:rsidRPr="00B5712C" w:rsidRDefault="00484ABE" w:rsidP="00484ABE">
      <w:pPr>
        <w:spacing w:after="0" w:line="240" w:lineRule="auto"/>
        <w:jc w:val="both"/>
        <w:rPr>
          <w:b/>
          <w:i/>
          <w:szCs w:val="24"/>
        </w:rPr>
      </w:pPr>
    </w:p>
    <w:p w:rsidR="00484ABE" w:rsidRPr="00C86BE9" w:rsidRDefault="00484ABE" w:rsidP="00484ABE">
      <w:pPr>
        <w:spacing w:after="0" w:line="240" w:lineRule="auto"/>
        <w:jc w:val="both"/>
        <w:rPr>
          <w:szCs w:val="24"/>
        </w:rPr>
      </w:pPr>
      <w:r w:rsidRPr="00B24242">
        <w:rPr>
          <w:szCs w:val="24"/>
        </w:rPr>
        <w:t>At paragraph 7.4.1 of the Audit Report for the 18-month period 1 January 2015 to 30 June 2016,</w:t>
      </w:r>
      <w:r>
        <w:rPr>
          <w:szCs w:val="24"/>
        </w:rPr>
        <w:t xml:space="preserve"> mention was made that 140</w:t>
      </w:r>
      <w:r w:rsidRPr="00C86BE9">
        <w:rPr>
          <w:szCs w:val="24"/>
        </w:rPr>
        <w:t xml:space="preserve"> containers</w:t>
      </w:r>
      <w:r>
        <w:rPr>
          <w:szCs w:val="24"/>
        </w:rPr>
        <w:t xml:space="preserve"> were</w:t>
      </w:r>
      <w:r w:rsidRPr="00C86BE9">
        <w:rPr>
          <w:szCs w:val="24"/>
        </w:rPr>
        <w:t xml:space="preserve"> overlying at </w:t>
      </w:r>
      <w:r w:rsidRPr="00073B60">
        <w:rPr>
          <w:szCs w:val="24"/>
        </w:rPr>
        <w:t>C</w:t>
      </w:r>
      <w:r w:rsidR="00984105">
        <w:rPr>
          <w:szCs w:val="24"/>
        </w:rPr>
        <w:t xml:space="preserve">argo </w:t>
      </w:r>
      <w:r w:rsidRPr="00073B60">
        <w:rPr>
          <w:szCs w:val="24"/>
        </w:rPr>
        <w:t>H</w:t>
      </w:r>
      <w:r w:rsidR="00984105">
        <w:rPr>
          <w:szCs w:val="24"/>
        </w:rPr>
        <w:t xml:space="preserve">andling </w:t>
      </w:r>
      <w:r w:rsidRPr="00073B60">
        <w:rPr>
          <w:szCs w:val="24"/>
        </w:rPr>
        <w:t>C</w:t>
      </w:r>
      <w:r w:rsidR="00984105">
        <w:rPr>
          <w:szCs w:val="24"/>
        </w:rPr>
        <w:t xml:space="preserve">orporation </w:t>
      </w:r>
      <w:r w:rsidRPr="00073B60">
        <w:rPr>
          <w:szCs w:val="24"/>
        </w:rPr>
        <w:t>L</w:t>
      </w:r>
      <w:r w:rsidR="00984105">
        <w:rPr>
          <w:szCs w:val="24"/>
        </w:rPr>
        <w:t>td (CHCL)</w:t>
      </w:r>
      <w:r>
        <w:rPr>
          <w:szCs w:val="24"/>
        </w:rPr>
        <w:t xml:space="preserve"> for periods ranging from one to 15 years. These had been transferred </w:t>
      </w:r>
      <w:r w:rsidRPr="000D05EA">
        <w:rPr>
          <w:szCs w:val="24"/>
        </w:rPr>
        <w:t xml:space="preserve">to </w:t>
      </w:r>
      <w:r w:rsidR="004A710B">
        <w:rPr>
          <w:szCs w:val="24"/>
        </w:rPr>
        <w:t>MPT</w:t>
      </w:r>
      <w:r>
        <w:rPr>
          <w:szCs w:val="24"/>
        </w:rPr>
        <w:t xml:space="preserve"> in September 2016 and a</w:t>
      </w:r>
      <w:r w:rsidRPr="00B5712C">
        <w:rPr>
          <w:szCs w:val="24"/>
        </w:rPr>
        <w:t xml:space="preserve">ction was being </w:t>
      </w:r>
      <w:r>
        <w:rPr>
          <w:szCs w:val="24"/>
        </w:rPr>
        <w:t>taken to transfer same</w:t>
      </w:r>
      <w:r w:rsidRPr="00B5712C">
        <w:rPr>
          <w:szCs w:val="24"/>
        </w:rPr>
        <w:t xml:space="preserve"> to </w:t>
      </w:r>
      <w:r>
        <w:rPr>
          <w:szCs w:val="24"/>
        </w:rPr>
        <w:t xml:space="preserve">Customs Warehouse. As </w:t>
      </w:r>
      <w:r w:rsidRPr="00D0136E">
        <w:rPr>
          <w:szCs w:val="24"/>
        </w:rPr>
        <w:t>of 3 November 2017</w:t>
      </w:r>
      <w:r>
        <w:rPr>
          <w:szCs w:val="24"/>
        </w:rPr>
        <w:t>, 18 containers were still overlying at MPT.</w:t>
      </w:r>
    </w:p>
    <w:p w:rsidR="00484ABE" w:rsidRPr="00BC6362" w:rsidRDefault="00484ABE" w:rsidP="00484ABE">
      <w:pPr>
        <w:spacing w:after="0" w:line="240" w:lineRule="auto"/>
        <w:jc w:val="both"/>
        <w:rPr>
          <w:szCs w:val="24"/>
        </w:rPr>
      </w:pPr>
    </w:p>
    <w:p w:rsidR="00484ABE" w:rsidRPr="00BC6362" w:rsidRDefault="00484ABE" w:rsidP="00484ABE">
      <w:pPr>
        <w:tabs>
          <w:tab w:val="left" w:pos="914"/>
        </w:tabs>
        <w:spacing w:after="0" w:line="240" w:lineRule="auto"/>
        <w:jc w:val="both"/>
        <w:rPr>
          <w:i/>
          <w:szCs w:val="24"/>
        </w:rPr>
      </w:pPr>
      <w:r w:rsidRPr="00BC6362">
        <w:rPr>
          <w:i/>
          <w:szCs w:val="24"/>
        </w:rPr>
        <w:t>Beers</w:t>
      </w:r>
    </w:p>
    <w:p w:rsidR="00484ABE" w:rsidRPr="00BC6362" w:rsidRDefault="00484ABE" w:rsidP="00484ABE">
      <w:pPr>
        <w:spacing w:after="0" w:line="240" w:lineRule="auto"/>
        <w:jc w:val="both"/>
        <w:rPr>
          <w:szCs w:val="24"/>
        </w:rPr>
      </w:pPr>
    </w:p>
    <w:p w:rsidR="00484ABE" w:rsidRPr="0095034C" w:rsidRDefault="00484ABE" w:rsidP="00484ABE">
      <w:pPr>
        <w:spacing w:after="0" w:line="240" w:lineRule="auto"/>
        <w:jc w:val="both"/>
        <w:rPr>
          <w:color w:val="0070C0"/>
          <w:szCs w:val="24"/>
        </w:rPr>
      </w:pPr>
      <w:r>
        <w:rPr>
          <w:szCs w:val="24"/>
        </w:rPr>
        <w:t xml:space="preserve">10 </w:t>
      </w:r>
      <w:r w:rsidRPr="00BC6362">
        <w:rPr>
          <w:szCs w:val="24"/>
        </w:rPr>
        <w:t>containers</w:t>
      </w:r>
      <w:r>
        <w:rPr>
          <w:szCs w:val="24"/>
        </w:rPr>
        <w:t xml:space="preserve">, which were </w:t>
      </w:r>
      <w:r w:rsidRPr="00BC6362">
        <w:rPr>
          <w:szCs w:val="24"/>
        </w:rPr>
        <w:t>stuff</w:t>
      </w:r>
      <w:r>
        <w:rPr>
          <w:szCs w:val="24"/>
        </w:rPr>
        <w:t>ed</w:t>
      </w:r>
      <w:r w:rsidRPr="00BC6362">
        <w:rPr>
          <w:szCs w:val="24"/>
        </w:rPr>
        <w:t xml:space="preserve"> with beers</w:t>
      </w:r>
      <w:r>
        <w:rPr>
          <w:szCs w:val="24"/>
        </w:rPr>
        <w:t xml:space="preserve"> in bladders, were </w:t>
      </w:r>
      <w:r w:rsidRPr="00D0136E">
        <w:rPr>
          <w:szCs w:val="24"/>
        </w:rPr>
        <w:t xml:space="preserve">overlying since </w:t>
      </w:r>
      <w:r w:rsidRPr="00BC6362">
        <w:rPr>
          <w:szCs w:val="24"/>
        </w:rPr>
        <w:t>2012</w:t>
      </w:r>
      <w:r>
        <w:rPr>
          <w:szCs w:val="24"/>
        </w:rPr>
        <w:t>.</w:t>
      </w:r>
      <w:r w:rsidRPr="0095034C">
        <w:rPr>
          <w:szCs w:val="24"/>
        </w:rPr>
        <w:t xml:space="preserve"> It was only in </w:t>
      </w:r>
      <w:r w:rsidRPr="005B02DB">
        <w:rPr>
          <w:szCs w:val="24"/>
        </w:rPr>
        <w:t xml:space="preserve">December 2016 </w:t>
      </w:r>
      <w:r w:rsidRPr="0095034C">
        <w:rPr>
          <w:szCs w:val="24"/>
        </w:rPr>
        <w:t xml:space="preserve">that a sample of </w:t>
      </w:r>
      <w:r>
        <w:rPr>
          <w:szCs w:val="24"/>
        </w:rPr>
        <w:t xml:space="preserve">the </w:t>
      </w:r>
      <w:r w:rsidRPr="0095034C">
        <w:rPr>
          <w:szCs w:val="24"/>
        </w:rPr>
        <w:t>beer</w:t>
      </w:r>
      <w:r>
        <w:rPr>
          <w:szCs w:val="24"/>
        </w:rPr>
        <w:t>s</w:t>
      </w:r>
      <w:r w:rsidRPr="0095034C">
        <w:rPr>
          <w:szCs w:val="24"/>
        </w:rPr>
        <w:t xml:space="preserve"> was taken by </w:t>
      </w:r>
      <w:r>
        <w:rPr>
          <w:szCs w:val="24"/>
        </w:rPr>
        <w:t xml:space="preserve">the Ministry of Health and Quality of Life </w:t>
      </w:r>
      <w:r w:rsidR="00951F36">
        <w:rPr>
          <w:szCs w:val="24"/>
        </w:rPr>
        <w:t>(</w:t>
      </w:r>
      <w:proofErr w:type="spellStart"/>
      <w:r w:rsidR="00951F36">
        <w:rPr>
          <w:szCs w:val="24"/>
        </w:rPr>
        <w:t>Mo</w:t>
      </w:r>
      <w:r w:rsidR="004A710B">
        <w:rPr>
          <w:szCs w:val="24"/>
        </w:rPr>
        <w:t>HQL</w:t>
      </w:r>
      <w:proofErr w:type="spellEnd"/>
      <w:r w:rsidR="004A710B">
        <w:rPr>
          <w:szCs w:val="24"/>
        </w:rPr>
        <w:t xml:space="preserve">) </w:t>
      </w:r>
      <w:r w:rsidRPr="0095034C">
        <w:rPr>
          <w:szCs w:val="24"/>
        </w:rPr>
        <w:t>for analysis purpose</w:t>
      </w:r>
      <w:r>
        <w:rPr>
          <w:szCs w:val="24"/>
        </w:rPr>
        <w:t xml:space="preserve">. </w:t>
      </w:r>
      <w:r>
        <w:rPr>
          <w:rFonts w:eastAsia="Times New Roman"/>
          <w:szCs w:val="24"/>
        </w:rPr>
        <w:t xml:space="preserve">On </w:t>
      </w:r>
      <w:r w:rsidRPr="0095034C">
        <w:rPr>
          <w:rFonts w:eastAsia="Times New Roman"/>
          <w:szCs w:val="24"/>
        </w:rPr>
        <w:t xml:space="preserve">7 February 2017, </w:t>
      </w:r>
      <w:r>
        <w:rPr>
          <w:rFonts w:eastAsia="Times New Roman"/>
          <w:szCs w:val="24"/>
        </w:rPr>
        <w:t xml:space="preserve">the Ministry reported that </w:t>
      </w:r>
      <w:r w:rsidRPr="0095034C">
        <w:rPr>
          <w:rFonts w:eastAsia="Times New Roman"/>
          <w:szCs w:val="24"/>
        </w:rPr>
        <w:t xml:space="preserve">the beers were </w:t>
      </w:r>
      <w:r>
        <w:rPr>
          <w:rFonts w:eastAsia="Times New Roman"/>
          <w:szCs w:val="24"/>
        </w:rPr>
        <w:t xml:space="preserve">found </w:t>
      </w:r>
      <w:r w:rsidRPr="0095034C">
        <w:rPr>
          <w:rFonts w:eastAsia="Times New Roman"/>
          <w:szCs w:val="24"/>
        </w:rPr>
        <w:t xml:space="preserve">unfit for consumption and thus, recommended </w:t>
      </w:r>
      <w:r w:rsidR="004A710B">
        <w:rPr>
          <w:rFonts w:eastAsia="Times New Roman"/>
          <w:szCs w:val="24"/>
        </w:rPr>
        <w:t xml:space="preserve">for </w:t>
      </w:r>
      <w:r w:rsidRPr="0095034C">
        <w:rPr>
          <w:rFonts w:eastAsia="Times New Roman"/>
          <w:szCs w:val="24"/>
        </w:rPr>
        <w:t xml:space="preserve">their destruction. </w:t>
      </w:r>
    </w:p>
    <w:p w:rsidR="00484ABE" w:rsidRPr="00B5712C" w:rsidRDefault="00484ABE" w:rsidP="00794249">
      <w:pPr>
        <w:spacing w:after="0" w:line="240" w:lineRule="auto"/>
        <w:jc w:val="both"/>
        <w:rPr>
          <w:szCs w:val="24"/>
        </w:rPr>
      </w:pPr>
    </w:p>
    <w:p w:rsidR="00484ABE" w:rsidRPr="002A4EDB" w:rsidRDefault="00484ABE" w:rsidP="00484ABE">
      <w:pPr>
        <w:pStyle w:val="ListParagraph"/>
        <w:spacing w:after="0" w:line="240" w:lineRule="auto"/>
        <w:ind w:left="0"/>
        <w:jc w:val="both"/>
        <w:rPr>
          <w:i/>
        </w:rPr>
      </w:pPr>
      <w:r w:rsidRPr="002A4EDB">
        <w:rPr>
          <w:i/>
        </w:rPr>
        <w:t>Malt Alcoholic Spirit</w:t>
      </w:r>
    </w:p>
    <w:p w:rsidR="00484ABE" w:rsidRPr="00B5712C" w:rsidRDefault="00484ABE" w:rsidP="00484ABE">
      <w:pPr>
        <w:spacing w:after="0" w:line="240" w:lineRule="auto"/>
        <w:jc w:val="both"/>
        <w:rPr>
          <w:szCs w:val="24"/>
        </w:rPr>
      </w:pPr>
    </w:p>
    <w:p w:rsidR="00484ABE" w:rsidRPr="009D63DC" w:rsidRDefault="00484ABE" w:rsidP="00484ABE">
      <w:pPr>
        <w:spacing w:after="0" w:line="240" w:lineRule="auto"/>
        <w:jc w:val="both"/>
        <w:rPr>
          <w:szCs w:val="24"/>
        </w:rPr>
      </w:pPr>
      <w:r w:rsidRPr="007F68ED">
        <w:rPr>
          <w:szCs w:val="24"/>
        </w:rPr>
        <w:t xml:space="preserve">As per </w:t>
      </w:r>
      <w:r>
        <w:rPr>
          <w:szCs w:val="24"/>
        </w:rPr>
        <w:t xml:space="preserve">the </w:t>
      </w:r>
      <w:r w:rsidRPr="007F68ED">
        <w:rPr>
          <w:szCs w:val="24"/>
        </w:rPr>
        <w:t xml:space="preserve">Master Manifest, </w:t>
      </w:r>
      <w:r>
        <w:rPr>
          <w:szCs w:val="24"/>
        </w:rPr>
        <w:t>10</w:t>
      </w:r>
      <w:r w:rsidRPr="007F68ED">
        <w:rPr>
          <w:szCs w:val="24"/>
        </w:rPr>
        <w:t xml:space="preserve"> barrels of </w:t>
      </w:r>
      <w:r w:rsidRPr="007E6B33">
        <w:rPr>
          <w:i/>
          <w:szCs w:val="24"/>
        </w:rPr>
        <w:t>“Malt Alcoholic Spirit”</w:t>
      </w:r>
      <w:r w:rsidRPr="007F68ED">
        <w:rPr>
          <w:szCs w:val="24"/>
        </w:rPr>
        <w:t xml:space="preserve"> were imported on </w:t>
      </w:r>
      <w:r w:rsidR="006D14DB">
        <w:rPr>
          <w:szCs w:val="24"/>
        </w:rPr>
        <w:br/>
      </w:r>
      <w:r w:rsidRPr="007F68ED">
        <w:rPr>
          <w:szCs w:val="24"/>
        </w:rPr>
        <w:t xml:space="preserve">18 February 2012. </w:t>
      </w:r>
      <w:r>
        <w:rPr>
          <w:szCs w:val="24"/>
        </w:rPr>
        <w:t xml:space="preserve">However, </w:t>
      </w:r>
      <w:r w:rsidRPr="007F68ED">
        <w:rPr>
          <w:szCs w:val="24"/>
        </w:rPr>
        <w:t>the barrels w</w:t>
      </w:r>
      <w:r>
        <w:rPr>
          <w:szCs w:val="24"/>
        </w:rPr>
        <w:t>ere</w:t>
      </w:r>
      <w:r w:rsidRPr="007F68ED">
        <w:rPr>
          <w:szCs w:val="24"/>
        </w:rPr>
        <w:t xml:space="preserve"> label</w:t>
      </w:r>
      <w:r>
        <w:rPr>
          <w:szCs w:val="24"/>
        </w:rPr>
        <w:t>l</w:t>
      </w:r>
      <w:r w:rsidRPr="007F68ED">
        <w:rPr>
          <w:szCs w:val="24"/>
        </w:rPr>
        <w:t>ed as “</w:t>
      </w:r>
      <w:r w:rsidRPr="007F68ED">
        <w:rPr>
          <w:i/>
          <w:szCs w:val="24"/>
        </w:rPr>
        <w:t>Refined Glycerin Chemically Pure</w:t>
      </w:r>
      <w:r w:rsidRPr="007F68ED">
        <w:rPr>
          <w:szCs w:val="24"/>
        </w:rPr>
        <w:t xml:space="preserve">” for industrial use only. Despite the container had been overlying for </w:t>
      </w:r>
      <w:r>
        <w:rPr>
          <w:szCs w:val="24"/>
        </w:rPr>
        <w:t xml:space="preserve">some </w:t>
      </w:r>
      <w:r w:rsidRPr="009D63DC">
        <w:rPr>
          <w:szCs w:val="24"/>
        </w:rPr>
        <w:t xml:space="preserve">five years, </w:t>
      </w:r>
      <w:r>
        <w:rPr>
          <w:szCs w:val="24"/>
        </w:rPr>
        <w:t xml:space="preserve">no analysis of the product has been performed and </w:t>
      </w:r>
      <w:r w:rsidRPr="009D63DC">
        <w:rPr>
          <w:szCs w:val="24"/>
        </w:rPr>
        <w:t xml:space="preserve">the discrepancy in description </w:t>
      </w:r>
      <w:r>
        <w:rPr>
          <w:szCs w:val="24"/>
        </w:rPr>
        <w:t xml:space="preserve">has not been </w:t>
      </w:r>
      <w:r w:rsidRPr="009D63DC">
        <w:rPr>
          <w:szCs w:val="24"/>
        </w:rPr>
        <w:t xml:space="preserve">investigated. </w:t>
      </w:r>
      <w:r>
        <w:rPr>
          <w:szCs w:val="24"/>
        </w:rPr>
        <w:t>Further d</w:t>
      </w:r>
      <w:r w:rsidRPr="009D63DC">
        <w:rPr>
          <w:szCs w:val="24"/>
        </w:rPr>
        <w:t xml:space="preserve">elay </w:t>
      </w:r>
      <w:r>
        <w:rPr>
          <w:szCs w:val="24"/>
        </w:rPr>
        <w:t>in taking appropriate action w</w:t>
      </w:r>
      <w:r w:rsidRPr="009D63DC">
        <w:rPr>
          <w:szCs w:val="24"/>
        </w:rPr>
        <w:t>ould result in the product</w:t>
      </w:r>
      <w:r>
        <w:rPr>
          <w:szCs w:val="24"/>
        </w:rPr>
        <w:t xml:space="preserve"> being expired</w:t>
      </w:r>
      <w:r w:rsidRPr="009D63DC">
        <w:rPr>
          <w:szCs w:val="24"/>
        </w:rPr>
        <w:t>.</w:t>
      </w:r>
    </w:p>
    <w:p w:rsidR="00484ABE" w:rsidRPr="00B5712C" w:rsidRDefault="00484ABE" w:rsidP="00484ABE">
      <w:pPr>
        <w:spacing w:after="0" w:line="240" w:lineRule="auto"/>
        <w:jc w:val="both"/>
        <w:rPr>
          <w:szCs w:val="24"/>
        </w:rPr>
      </w:pPr>
    </w:p>
    <w:p w:rsidR="00484ABE" w:rsidRPr="00333E28" w:rsidRDefault="00484ABE" w:rsidP="00484ABE">
      <w:pPr>
        <w:spacing w:after="0" w:line="240" w:lineRule="auto"/>
        <w:jc w:val="both"/>
        <w:rPr>
          <w:b/>
          <w:i/>
          <w:szCs w:val="24"/>
        </w:rPr>
      </w:pPr>
      <w:r w:rsidRPr="00333E28">
        <w:rPr>
          <w:b/>
          <w:i/>
          <w:szCs w:val="24"/>
        </w:rPr>
        <w:t>Recommendations</w:t>
      </w:r>
    </w:p>
    <w:p w:rsidR="00484ABE" w:rsidRPr="00B5712C" w:rsidRDefault="00484ABE" w:rsidP="00484ABE">
      <w:pPr>
        <w:spacing w:after="0" w:line="240" w:lineRule="auto"/>
        <w:jc w:val="both"/>
        <w:rPr>
          <w:i/>
          <w:szCs w:val="24"/>
        </w:rPr>
      </w:pPr>
    </w:p>
    <w:p w:rsidR="00484ABE" w:rsidRPr="00B5712C" w:rsidRDefault="00484ABE" w:rsidP="00B628CB">
      <w:pPr>
        <w:numPr>
          <w:ilvl w:val="0"/>
          <w:numId w:val="9"/>
        </w:numPr>
        <w:spacing w:after="0" w:line="240" w:lineRule="auto"/>
        <w:contextualSpacing/>
        <w:jc w:val="both"/>
        <w:rPr>
          <w:rFonts w:eastAsia="Times New Roman"/>
          <w:szCs w:val="24"/>
        </w:rPr>
      </w:pPr>
      <w:r w:rsidRPr="00B5712C">
        <w:rPr>
          <w:rFonts w:eastAsia="Times New Roman"/>
          <w:szCs w:val="24"/>
        </w:rPr>
        <w:t xml:space="preserve">Customs should comply with the Customs </w:t>
      </w:r>
      <w:r w:rsidR="001E56BF">
        <w:rPr>
          <w:rFonts w:eastAsia="Times New Roman"/>
          <w:szCs w:val="24"/>
        </w:rPr>
        <w:t>Act to avoid</w:t>
      </w:r>
      <w:r w:rsidRPr="00B5712C">
        <w:rPr>
          <w:rFonts w:eastAsia="Times New Roman"/>
          <w:szCs w:val="24"/>
        </w:rPr>
        <w:t xml:space="preserve"> incurring additional costs </w:t>
      </w:r>
      <w:r>
        <w:rPr>
          <w:rFonts w:eastAsia="Times New Roman"/>
          <w:szCs w:val="24"/>
        </w:rPr>
        <w:t>for</w:t>
      </w:r>
      <w:r w:rsidRPr="00B5712C">
        <w:rPr>
          <w:rFonts w:eastAsia="Times New Roman"/>
          <w:szCs w:val="24"/>
        </w:rPr>
        <w:t xml:space="preserve"> destruction </w:t>
      </w:r>
      <w:r>
        <w:rPr>
          <w:rFonts w:eastAsia="Times New Roman"/>
          <w:szCs w:val="24"/>
        </w:rPr>
        <w:t>o</w:t>
      </w:r>
      <w:r w:rsidRPr="00B5712C">
        <w:rPr>
          <w:rFonts w:eastAsia="Times New Roman"/>
          <w:szCs w:val="24"/>
        </w:rPr>
        <w:t>f</w:t>
      </w:r>
      <w:r>
        <w:rPr>
          <w:rFonts w:eastAsia="Times New Roman"/>
          <w:szCs w:val="24"/>
        </w:rPr>
        <w:t xml:space="preserve"> </w:t>
      </w:r>
      <w:r w:rsidR="001E56BF">
        <w:rPr>
          <w:rFonts w:eastAsia="Times New Roman"/>
          <w:szCs w:val="24"/>
        </w:rPr>
        <w:t xml:space="preserve">these </w:t>
      </w:r>
      <w:r>
        <w:rPr>
          <w:rFonts w:eastAsia="Times New Roman"/>
          <w:szCs w:val="24"/>
        </w:rPr>
        <w:t>expired products;</w:t>
      </w:r>
    </w:p>
    <w:p w:rsidR="00484ABE" w:rsidRPr="00B5712C" w:rsidRDefault="00484ABE" w:rsidP="00794249">
      <w:pPr>
        <w:spacing w:after="0" w:line="240" w:lineRule="auto"/>
        <w:ind w:left="360" w:hanging="360"/>
        <w:contextualSpacing/>
        <w:jc w:val="both"/>
        <w:rPr>
          <w:rFonts w:eastAsia="Times New Roman"/>
          <w:szCs w:val="24"/>
        </w:rPr>
      </w:pPr>
    </w:p>
    <w:p w:rsidR="00484ABE" w:rsidRDefault="00484ABE" w:rsidP="00B628CB">
      <w:pPr>
        <w:numPr>
          <w:ilvl w:val="0"/>
          <w:numId w:val="9"/>
        </w:numPr>
        <w:spacing w:after="0" w:line="240" w:lineRule="auto"/>
        <w:contextualSpacing/>
        <w:jc w:val="both"/>
        <w:rPr>
          <w:rFonts w:eastAsia="Times New Roman"/>
          <w:szCs w:val="24"/>
        </w:rPr>
      </w:pPr>
      <w:r>
        <w:rPr>
          <w:rFonts w:eastAsia="Times New Roman"/>
          <w:szCs w:val="24"/>
        </w:rPr>
        <w:lastRenderedPageBreak/>
        <w:t>L</w:t>
      </w:r>
      <w:r w:rsidRPr="00B5712C">
        <w:rPr>
          <w:rFonts w:eastAsia="Times New Roman"/>
          <w:szCs w:val="24"/>
        </w:rPr>
        <w:t>iquid items</w:t>
      </w:r>
      <w:r>
        <w:rPr>
          <w:rFonts w:eastAsia="Times New Roman"/>
          <w:szCs w:val="24"/>
        </w:rPr>
        <w:t>,</w:t>
      </w:r>
      <w:r w:rsidRPr="00B5712C">
        <w:rPr>
          <w:rFonts w:eastAsia="Times New Roman"/>
          <w:szCs w:val="24"/>
        </w:rPr>
        <w:t xml:space="preserve"> such as </w:t>
      </w:r>
      <w:r>
        <w:rPr>
          <w:rFonts w:eastAsia="Times New Roman"/>
          <w:szCs w:val="24"/>
        </w:rPr>
        <w:t>spirits</w:t>
      </w:r>
      <w:r w:rsidRPr="00B5712C">
        <w:rPr>
          <w:rFonts w:eastAsia="Times New Roman"/>
          <w:szCs w:val="24"/>
        </w:rPr>
        <w:t xml:space="preserve"> and beers, </w:t>
      </w:r>
      <w:r>
        <w:rPr>
          <w:rFonts w:eastAsia="Times New Roman"/>
          <w:szCs w:val="24"/>
        </w:rPr>
        <w:t xml:space="preserve">should be </w:t>
      </w:r>
      <w:r w:rsidRPr="00B5712C">
        <w:rPr>
          <w:rFonts w:eastAsia="Times New Roman"/>
          <w:szCs w:val="24"/>
        </w:rPr>
        <w:t xml:space="preserve">removed from MPT and stored under </w:t>
      </w:r>
      <w:r>
        <w:rPr>
          <w:rFonts w:eastAsia="Times New Roman"/>
          <w:szCs w:val="24"/>
        </w:rPr>
        <w:t>appropriate</w:t>
      </w:r>
      <w:r w:rsidRPr="00B5712C">
        <w:rPr>
          <w:rFonts w:eastAsia="Times New Roman"/>
          <w:szCs w:val="24"/>
        </w:rPr>
        <w:t xml:space="preserve"> temperature</w:t>
      </w:r>
      <w:r>
        <w:rPr>
          <w:rFonts w:eastAsia="Times New Roman"/>
          <w:szCs w:val="24"/>
        </w:rPr>
        <w:t>. These should be disposed of within a reasonable time</w:t>
      </w:r>
      <w:r w:rsidRPr="00B5712C">
        <w:rPr>
          <w:rFonts w:eastAsia="Times New Roman"/>
          <w:szCs w:val="24"/>
        </w:rPr>
        <w:t xml:space="preserve">. </w:t>
      </w:r>
    </w:p>
    <w:p w:rsidR="00484ABE" w:rsidRDefault="00484ABE" w:rsidP="00484ABE">
      <w:pPr>
        <w:tabs>
          <w:tab w:val="left" w:pos="914"/>
        </w:tabs>
        <w:spacing w:after="0" w:line="240" w:lineRule="auto"/>
        <w:jc w:val="both"/>
        <w:rPr>
          <w:b/>
          <w:bCs/>
          <w:i/>
          <w:iCs/>
          <w:szCs w:val="24"/>
          <w:lang w:val="en-GB"/>
        </w:rPr>
      </w:pPr>
    </w:p>
    <w:p w:rsidR="00484ABE" w:rsidRPr="00F9235A" w:rsidRDefault="00484ABE" w:rsidP="00484ABE">
      <w:pPr>
        <w:tabs>
          <w:tab w:val="left" w:pos="914"/>
        </w:tabs>
        <w:spacing w:after="0" w:line="240" w:lineRule="auto"/>
        <w:jc w:val="both"/>
        <w:rPr>
          <w:b/>
          <w:i/>
          <w:szCs w:val="24"/>
        </w:rPr>
      </w:pPr>
      <w:r w:rsidRPr="00F9235A">
        <w:rPr>
          <w:b/>
          <w:i/>
          <w:szCs w:val="24"/>
        </w:rPr>
        <w:t>Management’s Reply</w:t>
      </w:r>
    </w:p>
    <w:p w:rsidR="00484ABE" w:rsidRPr="00A7519F" w:rsidRDefault="00484ABE" w:rsidP="00484ABE">
      <w:pPr>
        <w:tabs>
          <w:tab w:val="left" w:pos="914"/>
        </w:tabs>
        <w:spacing w:after="0" w:line="240" w:lineRule="auto"/>
        <w:jc w:val="both"/>
        <w:rPr>
          <w:b/>
          <w:i/>
          <w:szCs w:val="24"/>
        </w:rPr>
      </w:pPr>
    </w:p>
    <w:p w:rsidR="001E56BF" w:rsidRPr="001E56BF" w:rsidRDefault="001E56BF" w:rsidP="001E56BF">
      <w:pPr>
        <w:autoSpaceDE w:val="0"/>
        <w:autoSpaceDN w:val="0"/>
        <w:adjustRightInd w:val="0"/>
        <w:spacing w:after="0" w:line="240" w:lineRule="auto"/>
        <w:jc w:val="both"/>
        <w:rPr>
          <w:color w:val="000000"/>
          <w:szCs w:val="24"/>
          <w:lang w:val="en-GB"/>
        </w:rPr>
      </w:pPr>
      <w:r w:rsidRPr="001E56BF">
        <w:rPr>
          <w:color w:val="000000"/>
          <w:szCs w:val="24"/>
          <w:lang w:val="en-GB"/>
        </w:rPr>
        <w:t>Of the 18 containers, two have already been sent for destruction on 12 January 2018, two have been transferred to the Customs Warehouse following finalisation of an agreement for destruction with a distillery. With respect to the remaining 14 containers as at February 2018, action will be taken in due course.</w:t>
      </w:r>
    </w:p>
    <w:p w:rsidR="001E56BF" w:rsidRPr="001E56BF" w:rsidRDefault="001E56BF" w:rsidP="001E56BF">
      <w:pPr>
        <w:autoSpaceDE w:val="0"/>
        <w:autoSpaceDN w:val="0"/>
        <w:adjustRightInd w:val="0"/>
        <w:spacing w:after="0" w:line="240" w:lineRule="auto"/>
        <w:jc w:val="both"/>
        <w:rPr>
          <w:color w:val="000000"/>
          <w:szCs w:val="24"/>
          <w:lang w:val="en-GB"/>
        </w:rPr>
      </w:pPr>
      <w:r w:rsidRPr="001E56BF">
        <w:rPr>
          <w:color w:val="000000"/>
          <w:szCs w:val="24"/>
          <w:lang w:val="en-GB"/>
        </w:rPr>
        <w:t xml:space="preserve"> </w:t>
      </w:r>
    </w:p>
    <w:p w:rsidR="001E56BF" w:rsidRPr="001E56BF" w:rsidRDefault="001E56BF" w:rsidP="001E56BF">
      <w:pPr>
        <w:autoSpaceDE w:val="0"/>
        <w:autoSpaceDN w:val="0"/>
        <w:adjustRightInd w:val="0"/>
        <w:spacing w:after="0" w:line="240" w:lineRule="auto"/>
        <w:jc w:val="both"/>
        <w:rPr>
          <w:color w:val="000000"/>
          <w:szCs w:val="24"/>
          <w:lang w:val="en-GB"/>
        </w:rPr>
      </w:pPr>
      <w:r w:rsidRPr="001E56BF">
        <w:rPr>
          <w:color w:val="000000"/>
          <w:szCs w:val="24"/>
          <w:lang w:val="en-GB"/>
        </w:rPr>
        <w:t xml:space="preserve">Four of the 10 containers of beer bladders have already been disposed of by destruction in December 2017 and the remaining containers will be disposed </w:t>
      </w:r>
      <w:r w:rsidR="00984105">
        <w:rPr>
          <w:color w:val="000000"/>
          <w:szCs w:val="24"/>
          <w:lang w:val="en-GB"/>
        </w:rPr>
        <w:t xml:space="preserve">of </w:t>
      </w:r>
      <w:r w:rsidRPr="001E56BF">
        <w:rPr>
          <w:color w:val="000000"/>
          <w:szCs w:val="24"/>
          <w:lang w:val="en-GB"/>
        </w:rPr>
        <w:t xml:space="preserve">by mid-2018. </w:t>
      </w:r>
    </w:p>
    <w:p w:rsidR="001E56BF" w:rsidRPr="001E56BF" w:rsidRDefault="001E56BF" w:rsidP="001E56BF">
      <w:pPr>
        <w:autoSpaceDE w:val="0"/>
        <w:autoSpaceDN w:val="0"/>
        <w:adjustRightInd w:val="0"/>
        <w:spacing w:after="0" w:line="240" w:lineRule="auto"/>
        <w:rPr>
          <w:color w:val="000000"/>
          <w:szCs w:val="24"/>
          <w:lang w:val="en-GB"/>
        </w:rPr>
      </w:pPr>
    </w:p>
    <w:p w:rsidR="001E56BF" w:rsidRPr="001E56BF" w:rsidRDefault="004A710B" w:rsidP="001E56BF">
      <w:pPr>
        <w:autoSpaceDE w:val="0"/>
        <w:autoSpaceDN w:val="0"/>
        <w:adjustRightInd w:val="0"/>
        <w:spacing w:after="0" w:line="240" w:lineRule="auto"/>
        <w:jc w:val="both"/>
        <w:rPr>
          <w:color w:val="000000"/>
          <w:szCs w:val="24"/>
          <w:lang w:val="en-GB"/>
        </w:rPr>
      </w:pPr>
      <w:r>
        <w:rPr>
          <w:color w:val="000000"/>
          <w:szCs w:val="24"/>
          <w:lang w:val="en-GB"/>
        </w:rPr>
        <w:t xml:space="preserve">The 10 barrels labelled as </w:t>
      </w:r>
      <w:proofErr w:type="spellStart"/>
      <w:r>
        <w:rPr>
          <w:color w:val="000000"/>
          <w:szCs w:val="24"/>
          <w:lang w:val="en-GB"/>
        </w:rPr>
        <w:t>gly</w:t>
      </w:r>
      <w:r w:rsidR="001E56BF" w:rsidRPr="001E56BF">
        <w:rPr>
          <w:color w:val="000000"/>
          <w:szCs w:val="24"/>
          <w:lang w:val="en-GB"/>
        </w:rPr>
        <w:t>cerin</w:t>
      </w:r>
      <w:proofErr w:type="spellEnd"/>
      <w:r w:rsidR="001E56BF" w:rsidRPr="001E56BF">
        <w:rPr>
          <w:color w:val="000000"/>
          <w:szCs w:val="24"/>
          <w:lang w:val="en-GB"/>
        </w:rPr>
        <w:t xml:space="preserve"> have been transferred to the Customs Warehouse in Novem</w:t>
      </w:r>
      <w:r>
        <w:rPr>
          <w:color w:val="000000"/>
          <w:szCs w:val="24"/>
          <w:lang w:val="en-GB"/>
        </w:rPr>
        <w:t xml:space="preserve">ber 2017. The </w:t>
      </w:r>
      <w:proofErr w:type="spellStart"/>
      <w:r>
        <w:rPr>
          <w:color w:val="000000"/>
          <w:szCs w:val="24"/>
          <w:lang w:val="en-GB"/>
        </w:rPr>
        <w:t>MoHQL</w:t>
      </w:r>
      <w:proofErr w:type="spellEnd"/>
      <w:r w:rsidR="001E56BF" w:rsidRPr="001E56BF">
        <w:rPr>
          <w:color w:val="000000"/>
          <w:szCs w:val="24"/>
          <w:lang w:val="en-GB"/>
        </w:rPr>
        <w:t xml:space="preserve"> has been contacted for the product to be analysed and Customs will take action based on the result of the analysis. </w:t>
      </w:r>
    </w:p>
    <w:p w:rsidR="001E56BF" w:rsidRPr="001E56BF" w:rsidRDefault="001E56BF" w:rsidP="001E56BF">
      <w:pPr>
        <w:autoSpaceDE w:val="0"/>
        <w:autoSpaceDN w:val="0"/>
        <w:adjustRightInd w:val="0"/>
        <w:spacing w:after="0" w:line="240" w:lineRule="auto"/>
        <w:rPr>
          <w:color w:val="000000"/>
          <w:szCs w:val="24"/>
          <w:lang w:val="en-GB"/>
        </w:rPr>
      </w:pPr>
    </w:p>
    <w:p w:rsidR="001E56BF" w:rsidRPr="001E56BF" w:rsidRDefault="001E56BF" w:rsidP="001E56BF">
      <w:pPr>
        <w:autoSpaceDE w:val="0"/>
        <w:autoSpaceDN w:val="0"/>
        <w:adjustRightInd w:val="0"/>
        <w:spacing w:after="0" w:line="240" w:lineRule="auto"/>
        <w:jc w:val="both"/>
        <w:rPr>
          <w:color w:val="000000"/>
          <w:szCs w:val="24"/>
          <w:lang w:val="en-GB"/>
        </w:rPr>
      </w:pPr>
      <w:r w:rsidRPr="001E56BF">
        <w:rPr>
          <w:color w:val="000000"/>
          <w:szCs w:val="24"/>
          <w:lang w:val="en-GB"/>
        </w:rPr>
        <w:t xml:space="preserve">With effect from 24 July 2017, the Customs Act has been amended whereby cost of destruction of abandoned goods or any condemned goods has to be borne by the importer. </w:t>
      </w:r>
    </w:p>
    <w:p w:rsidR="005F701B" w:rsidRDefault="005F701B" w:rsidP="005F701B">
      <w:pPr>
        <w:spacing w:after="0" w:line="240" w:lineRule="auto"/>
        <w:jc w:val="both"/>
        <w:rPr>
          <w:szCs w:val="24"/>
          <w:lang w:val="en-GB"/>
        </w:rPr>
      </w:pPr>
    </w:p>
    <w:p w:rsidR="001E56BF" w:rsidRDefault="001E56BF" w:rsidP="005F701B">
      <w:pPr>
        <w:spacing w:after="0" w:line="240" w:lineRule="auto"/>
        <w:jc w:val="both"/>
        <w:rPr>
          <w:szCs w:val="24"/>
          <w:lang w:val="en-GB"/>
        </w:rPr>
      </w:pPr>
    </w:p>
    <w:p w:rsidR="00794249" w:rsidRPr="00794249" w:rsidRDefault="00DE09C2" w:rsidP="00794249">
      <w:pPr>
        <w:tabs>
          <w:tab w:val="left" w:pos="720"/>
        </w:tabs>
        <w:spacing w:after="0" w:line="240" w:lineRule="auto"/>
        <w:jc w:val="both"/>
        <w:rPr>
          <w:b/>
          <w:lang w:val="en-GB"/>
        </w:rPr>
      </w:pPr>
      <w:r>
        <w:rPr>
          <w:b/>
          <w:szCs w:val="24"/>
          <w:lang w:val="en-GB"/>
        </w:rPr>
        <w:t>6.7</w:t>
      </w:r>
      <w:r w:rsidR="00794249" w:rsidRPr="00794249">
        <w:rPr>
          <w:b/>
          <w:szCs w:val="24"/>
          <w:lang w:val="en-GB"/>
        </w:rPr>
        <w:tab/>
      </w:r>
      <w:r w:rsidR="00794249" w:rsidRPr="00794249">
        <w:rPr>
          <w:b/>
          <w:lang w:val="en-GB"/>
        </w:rPr>
        <w:t>Overlying Goods at Freight Stations</w:t>
      </w:r>
    </w:p>
    <w:p w:rsidR="005F701B" w:rsidRPr="00BD01B6" w:rsidRDefault="005F701B" w:rsidP="005F701B">
      <w:pPr>
        <w:spacing w:after="0" w:line="240" w:lineRule="auto"/>
        <w:jc w:val="both"/>
        <w:rPr>
          <w:szCs w:val="24"/>
          <w:lang w:val="en-GB"/>
        </w:rPr>
      </w:pPr>
    </w:p>
    <w:p w:rsidR="005F701B" w:rsidRPr="00BD01B6" w:rsidRDefault="00DE09C2" w:rsidP="005F701B">
      <w:pPr>
        <w:spacing w:after="0" w:line="240" w:lineRule="auto"/>
        <w:jc w:val="both"/>
        <w:rPr>
          <w:b/>
          <w:i/>
          <w:szCs w:val="24"/>
          <w:lang w:val="en-GB"/>
        </w:rPr>
      </w:pPr>
      <w:r>
        <w:rPr>
          <w:b/>
          <w:i/>
          <w:szCs w:val="24"/>
          <w:lang w:val="en-GB"/>
        </w:rPr>
        <w:t>6.7</w:t>
      </w:r>
      <w:r w:rsidR="005F701B" w:rsidRPr="00BD01B6">
        <w:rPr>
          <w:b/>
          <w:i/>
          <w:szCs w:val="24"/>
          <w:lang w:val="en-GB"/>
        </w:rPr>
        <w:t>.1</w:t>
      </w:r>
      <w:r w:rsidR="005F701B" w:rsidRPr="00BD01B6">
        <w:rPr>
          <w:b/>
          <w:i/>
          <w:szCs w:val="24"/>
          <w:lang w:val="en-GB"/>
        </w:rPr>
        <w:tab/>
        <w:t>Site visit effected on 9 August 2017</w:t>
      </w:r>
    </w:p>
    <w:p w:rsidR="005F701B" w:rsidRPr="00BD01B6" w:rsidRDefault="005F701B" w:rsidP="005F701B">
      <w:pPr>
        <w:spacing w:after="0" w:line="240" w:lineRule="auto"/>
        <w:jc w:val="both"/>
        <w:rPr>
          <w:szCs w:val="24"/>
          <w:lang w:val="en-GB"/>
        </w:rPr>
      </w:pPr>
    </w:p>
    <w:p w:rsidR="005F701B" w:rsidRPr="00BD01B6" w:rsidRDefault="005F701B" w:rsidP="005F701B">
      <w:pPr>
        <w:spacing w:after="0" w:line="240" w:lineRule="auto"/>
        <w:jc w:val="both"/>
        <w:rPr>
          <w:szCs w:val="24"/>
          <w:lang w:val="en-GB"/>
        </w:rPr>
      </w:pPr>
      <w:r w:rsidRPr="00BD01B6">
        <w:rPr>
          <w:szCs w:val="24"/>
          <w:lang w:val="en-GB"/>
        </w:rPr>
        <w:t>Several expired goods were found overlying in three Freight Stations.</w:t>
      </w:r>
    </w:p>
    <w:p w:rsidR="005F701B" w:rsidRPr="00BD01B6" w:rsidRDefault="005F701B" w:rsidP="005F701B">
      <w:pPr>
        <w:spacing w:after="0" w:line="240" w:lineRule="auto"/>
        <w:jc w:val="both"/>
        <w:rPr>
          <w:szCs w:val="24"/>
          <w:lang w:val="en-GB"/>
        </w:rPr>
      </w:pPr>
    </w:p>
    <w:p w:rsidR="005F701B" w:rsidRPr="00BD01B6" w:rsidRDefault="005F701B" w:rsidP="005F701B">
      <w:pPr>
        <w:pStyle w:val="ListParagraph"/>
        <w:spacing w:after="0" w:line="240" w:lineRule="auto"/>
        <w:ind w:left="0"/>
        <w:jc w:val="both"/>
        <w:rPr>
          <w:i/>
          <w:lang w:val="en-GB"/>
        </w:rPr>
      </w:pPr>
      <w:r w:rsidRPr="00BD01B6">
        <w:rPr>
          <w:i/>
          <w:lang w:val="en-GB"/>
        </w:rPr>
        <w:t>Herbal products</w:t>
      </w:r>
    </w:p>
    <w:p w:rsidR="005F701B" w:rsidRPr="00BD01B6" w:rsidRDefault="005F701B" w:rsidP="005F701B">
      <w:pPr>
        <w:spacing w:after="0" w:line="240" w:lineRule="auto"/>
        <w:contextualSpacing/>
        <w:jc w:val="both"/>
        <w:rPr>
          <w:i/>
          <w:szCs w:val="24"/>
          <w:lang w:val="en-GB"/>
        </w:rPr>
      </w:pPr>
    </w:p>
    <w:p w:rsidR="005F701B" w:rsidRPr="00BD01B6" w:rsidRDefault="005F701B" w:rsidP="005F701B">
      <w:pPr>
        <w:spacing w:after="0" w:line="240" w:lineRule="auto"/>
        <w:contextualSpacing/>
        <w:jc w:val="both"/>
        <w:rPr>
          <w:b/>
          <w:szCs w:val="24"/>
          <w:lang w:val="en-GB"/>
        </w:rPr>
      </w:pPr>
      <w:r w:rsidRPr="00BD01B6">
        <w:rPr>
          <w:szCs w:val="24"/>
          <w:lang w:val="en-GB"/>
        </w:rPr>
        <w:t xml:space="preserve">A large quantity of herbal products, namely toothpastes and </w:t>
      </w:r>
      <w:proofErr w:type="spellStart"/>
      <w:r w:rsidRPr="00BD01B6">
        <w:rPr>
          <w:szCs w:val="24"/>
          <w:lang w:val="en-GB"/>
        </w:rPr>
        <w:t>Ayurvedic</w:t>
      </w:r>
      <w:proofErr w:type="spellEnd"/>
      <w:r w:rsidRPr="00BD01B6">
        <w:rPr>
          <w:szCs w:val="24"/>
          <w:lang w:val="en-GB"/>
        </w:rPr>
        <w:t xml:space="preserve"> medicines, among others, which were imported since 2011, were overlying for the past six years, that is, well beyond the prescribed period of two months. The herbal products have already expired and were leaking.</w:t>
      </w:r>
    </w:p>
    <w:p w:rsidR="005F701B" w:rsidRPr="00BD01B6" w:rsidRDefault="005F701B" w:rsidP="005F701B">
      <w:pPr>
        <w:tabs>
          <w:tab w:val="left" w:pos="914"/>
        </w:tabs>
        <w:spacing w:after="0" w:line="240" w:lineRule="auto"/>
        <w:jc w:val="both"/>
        <w:rPr>
          <w:i/>
          <w:szCs w:val="24"/>
        </w:rPr>
      </w:pPr>
    </w:p>
    <w:p w:rsidR="005F701B" w:rsidRPr="00BD01B6" w:rsidRDefault="005F701B" w:rsidP="005F701B">
      <w:pPr>
        <w:pStyle w:val="ListParagraph"/>
        <w:tabs>
          <w:tab w:val="left" w:pos="914"/>
        </w:tabs>
        <w:spacing w:after="0" w:line="240" w:lineRule="auto"/>
        <w:ind w:left="0"/>
        <w:jc w:val="both"/>
        <w:rPr>
          <w:i/>
        </w:rPr>
      </w:pPr>
      <w:r w:rsidRPr="00BD01B6">
        <w:rPr>
          <w:i/>
        </w:rPr>
        <w:t>Salvage Drums</w:t>
      </w:r>
    </w:p>
    <w:p w:rsidR="005F701B" w:rsidRPr="00BD01B6" w:rsidRDefault="005F701B" w:rsidP="005F701B">
      <w:pPr>
        <w:spacing w:after="0" w:line="240" w:lineRule="auto"/>
        <w:ind w:left="426" w:hanging="426"/>
        <w:contextualSpacing/>
        <w:jc w:val="both"/>
        <w:rPr>
          <w:b/>
          <w:szCs w:val="24"/>
          <w:lang w:val="en-GB"/>
        </w:rPr>
      </w:pPr>
    </w:p>
    <w:p w:rsidR="005F701B" w:rsidRPr="00BD01B6" w:rsidRDefault="005F701B" w:rsidP="005F701B">
      <w:pPr>
        <w:pStyle w:val="ListParagraph"/>
        <w:spacing w:after="0" w:line="240" w:lineRule="auto"/>
        <w:ind w:left="0"/>
        <w:jc w:val="both"/>
        <w:rPr>
          <w:lang w:val="en-GB"/>
        </w:rPr>
      </w:pPr>
      <w:r w:rsidRPr="00BD01B6">
        <w:rPr>
          <w:lang w:val="en-GB"/>
        </w:rPr>
        <w:t>Seven salvage drums found in a Freight Station were not recorded in</w:t>
      </w:r>
      <w:r w:rsidR="004A710B">
        <w:rPr>
          <w:lang w:val="en-GB"/>
        </w:rPr>
        <w:t xml:space="preserve"> the CMS. According to the Freight Station</w:t>
      </w:r>
      <w:r w:rsidR="00951F36">
        <w:rPr>
          <w:lang w:val="en-GB"/>
        </w:rPr>
        <w:t>’</w:t>
      </w:r>
      <w:r w:rsidR="004A710B">
        <w:rPr>
          <w:lang w:val="en-GB"/>
        </w:rPr>
        <w:t>s</w:t>
      </w:r>
      <w:r w:rsidRPr="00BD01B6">
        <w:rPr>
          <w:lang w:val="en-GB"/>
        </w:rPr>
        <w:t xml:space="preserve"> </w:t>
      </w:r>
      <w:r>
        <w:rPr>
          <w:lang w:val="en-GB"/>
        </w:rPr>
        <w:t>records</w:t>
      </w:r>
      <w:r w:rsidRPr="00BD01B6">
        <w:rPr>
          <w:lang w:val="en-GB"/>
        </w:rPr>
        <w:t xml:space="preserve">, these drums contained chemicals which were overlying for more than </w:t>
      </w:r>
      <w:r>
        <w:rPr>
          <w:lang w:val="en-GB"/>
        </w:rPr>
        <w:t>10</w:t>
      </w:r>
      <w:r w:rsidRPr="00BD01B6">
        <w:rPr>
          <w:lang w:val="en-GB"/>
        </w:rPr>
        <w:t xml:space="preserve"> years. The exact contents of the drums were not known. There is </w:t>
      </w:r>
      <w:r>
        <w:rPr>
          <w:lang w:val="en-GB"/>
        </w:rPr>
        <w:t xml:space="preserve">a </w:t>
      </w:r>
      <w:r w:rsidRPr="00BD01B6">
        <w:rPr>
          <w:lang w:val="en-GB"/>
        </w:rPr>
        <w:t>risk that the products have already expired</w:t>
      </w:r>
      <w:r>
        <w:rPr>
          <w:lang w:val="en-GB"/>
        </w:rPr>
        <w:t>,</w:t>
      </w:r>
      <w:r w:rsidRPr="00BD01B6">
        <w:rPr>
          <w:lang w:val="en-GB"/>
        </w:rPr>
        <w:t xml:space="preserve"> and hence, </w:t>
      </w:r>
      <w:r>
        <w:rPr>
          <w:lang w:val="en-GB"/>
        </w:rPr>
        <w:t xml:space="preserve">represent </w:t>
      </w:r>
      <w:r w:rsidRPr="00BD01B6">
        <w:rPr>
          <w:lang w:val="en-GB"/>
        </w:rPr>
        <w:t xml:space="preserve">a potential health hazard. </w:t>
      </w:r>
    </w:p>
    <w:p w:rsidR="006D14DB" w:rsidRDefault="006D14DB" w:rsidP="009B3218">
      <w:pPr>
        <w:spacing w:after="0" w:line="240" w:lineRule="auto"/>
        <w:rPr>
          <w:i/>
          <w:lang w:val="en-GB"/>
        </w:rPr>
      </w:pPr>
    </w:p>
    <w:p w:rsidR="005F701B" w:rsidRPr="00BD01B6" w:rsidRDefault="005F701B" w:rsidP="005F701B">
      <w:pPr>
        <w:pStyle w:val="ListParagraph"/>
        <w:spacing w:after="0" w:line="240" w:lineRule="auto"/>
        <w:ind w:left="0"/>
        <w:jc w:val="both"/>
        <w:rPr>
          <w:i/>
          <w:lang w:val="en-GB"/>
        </w:rPr>
      </w:pPr>
      <w:r w:rsidRPr="00BD01B6">
        <w:rPr>
          <w:i/>
          <w:lang w:val="en-GB"/>
        </w:rPr>
        <w:t>Insecticides, Medical Products, amongst others</w:t>
      </w:r>
    </w:p>
    <w:p w:rsidR="005F701B" w:rsidRPr="00BD01B6" w:rsidRDefault="005F701B" w:rsidP="005F701B">
      <w:pPr>
        <w:spacing w:after="0" w:line="240" w:lineRule="auto"/>
        <w:ind w:left="426"/>
        <w:contextualSpacing/>
        <w:jc w:val="both"/>
        <w:rPr>
          <w:szCs w:val="24"/>
          <w:lang w:val="en-GB"/>
        </w:rPr>
      </w:pPr>
    </w:p>
    <w:p w:rsidR="005F701B" w:rsidRPr="00BD01B6" w:rsidRDefault="005F701B" w:rsidP="005F701B">
      <w:pPr>
        <w:spacing w:after="0" w:line="240" w:lineRule="auto"/>
        <w:contextualSpacing/>
        <w:jc w:val="both"/>
        <w:rPr>
          <w:szCs w:val="24"/>
          <w:lang w:val="en-GB"/>
        </w:rPr>
      </w:pPr>
      <w:r w:rsidRPr="00BD01B6">
        <w:rPr>
          <w:szCs w:val="24"/>
          <w:lang w:val="en-GB"/>
        </w:rPr>
        <w:t xml:space="preserve">Large quantities of different insecticides, medical products, e-cigarettes, batteries, amongst others, were overlying for more than </w:t>
      </w:r>
      <w:r>
        <w:rPr>
          <w:szCs w:val="24"/>
          <w:lang w:val="en-GB"/>
        </w:rPr>
        <w:t>10</w:t>
      </w:r>
      <w:r w:rsidRPr="00BD01B6">
        <w:rPr>
          <w:szCs w:val="24"/>
          <w:lang w:val="en-GB"/>
        </w:rPr>
        <w:t xml:space="preserve"> years in a Freight Station. No action was taken during the past years to </w:t>
      </w:r>
      <w:r w:rsidRPr="00BD01B6">
        <w:rPr>
          <w:rFonts w:eastAsia="Times New Roman"/>
          <w:szCs w:val="24"/>
          <w:lang w:val="en-GB"/>
        </w:rPr>
        <w:t xml:space="preserve">transfer same for </w:t>
      </w:r>
      <w:r>
        <w:rPr>
          <w:rFonts w:eastAsia="Times New Roman"/>
          <w:szCs w:val="24"/>
          <w:lang w:val="en-GB"/>
        </w:rPr>
        <w:t>a</w:t>
      </w:r>
      <w:r w:rsidRPr="00BD01B6">
        <w:rPr>
          <w:rFonts w:eastAsia="Times New Roman"/>
          <w:szCs w:val="24"/>
          <w:lang w:val="en-GB"/>
        </w:rPr>
        <w:t xml:space="preserve">uction </w:t>
      </w:r>
      <w:r>
        <w:rPr>
          <w:rFonts w:eastAsia="Times New Roman"/>
          <w:szCs w:val="24"/>
          <w:lang w:val="en-GB"/>
        </w:rPr>
        <w:t>s</w:t>
      </w:r>
      <w:r w:rsidRPr="00BD01B6">
        <w:rPr>
          <w:rFonts w:eastAsia="Times New Roman"/>
          <w:szCs w:val="24"/>
          <w:lang w:val="en-GB"/>
        </w:rPr>
        <w:t>ales</w:t>
      </w:r>
      <w:r>
        <w:rPr>
          <w:rFonts w:eastAsia="Times New Roman"/>
          <w:szCs w:val="24"/>
          <w:lang w:val="en-GB"/>
        </w:rPr>
        <w:t>,</w:t>
      </w:r>
      <w:r w:rsidRPr="00BD01B6">
        <w:rPr>
          <w:rFonts w:eastAsia="Times New Roman"/>
          <w:szCs w:val="24"/>
          <w:lang w:val="en-GB"/>
        </w:rPr>
        <w:t xml:space="preserve"> in line with </w:t>
      </w:r>
      <w:r>
        <w:rPr>
          <w:rFonts w:eastAsia="Times New Roman"/>
          <w:szCs w:val="24"/>
          <w:lang w:val="en-GB"/>
        </w:rPr>
        <w:t xml:space="preserve">the relevant </w:t>
      </w:r>
      <w:r w:rsidRPr="00BD01B6">
        <w:rPr>
          <w:rFonts w:eastAsia="Times New Roman"/>
          <w:szCs w:val="24"/>
          <w:lang w:val="en-GB"/>
        </w:rPr>
        <w:t>Section of the Customs Act.</w:t>
      </w:r>
    </w:p>
    <w:p w:rsidR="005F701B" w:rsidRPr="00BD01B6" w:rsidRDefault="005F701B" w:rsidP="005F701B">
      <w:pPr>
        <w:spacing w:after="0" w:line="240" w:lineRule="auto"/>
        <w:contextualSpacing/>
        <w:jc w:val="both"/>
        <w:rPr>
          <w:szCs w:val="24"/>
          <w:lang w:val="en-GB"/>
        </w:rPr>
      </w:pPr>
    </w:p>
    <w:p w:rsidR="005F701B" w:rsidRPr="00BD01B6" w:rsidRDefault="005F701B" w:rsidP="005F701B">
      <w:pPr>
        <w:spacing w:after="0" w:line="240" w:lineRule="auto"/>
        <w:contextualSpacing/>
        <w:jc w:val="both"/>
        <w:rPr>
          <w:i/>
          <w:szCs w:val="24"/>
          <w:lang w:val="en-GB"/>
        </w:rPr>
      </w:pPr>
      <w:r w:rsidRPr="00BD01B6">
        <w:rPr>
          <w:szCs w:val="24"/>
          <w:lang w:val="en-GB"/>
        </w:rPr>
        <w:t xml:space="preserve">The insecticides and medical products had expired and they were </w:t>
      </w:r>
      <w:r>
        <w:rPr>
          <w:szCs w:val="24"/>
          <w:lang w:val="en-GB"/>
        </w:rPr>
        <w:t xml:space="preserve">not </w:t>
      </w:r>
      <w:r w:rsidRPr="00BD01B6">
        <w:rPr>
          <w:szCs w:val="24"/>
          <w:lang w:val="en-GB"/>
        </w:rPr>
        <w:t xml:space="preserve">kept in </w:t>
      </w:r>
      <w:r>
        <w:rPr>
          <w:szCs w:val="24"/>
          <w:lang w:val="en-GB"/>
        </w:rPr>
        <w:t xml:space="preserve">appropriate </w:t>
      </w:r>
      <w:r w:rsidRPr="00BD01B6">
        <w:rPr>
          <w:szCs w:val="24"/>
          <w:lang w:val="en-GB"/>
        </w:rPr>
        <w:t>conditions</w:t>
      </w:r>
      <w:r>
        <w:rPr>
          <w:szCs w:val="24"/>
          <w:lang w:val="en-GB"/>
        </w:rPr>
        <w:t>,</w:t>
      </w:r>
      <w:r w:rsidRPr="00BD01B6">
        <w:rPr>
          <w:szCs w:val="24"/>
          <w:lang w:val="en-GB"/>
        </w:rPr>
        <w:t xml:space="preserve"> with the ultimate risk of being a health </w:t>
      </w:r>
      <w:r>
        <w:rPr>
          <w:szCs w:val="24"/>
          <w:lang w:val="en-GB"/>
        </w:rPr>
        <w:t>hazard</w:t>
      </w:r>
      <w:r w:rsidRPr="00BD01B6">
        <w:rPr>
          <w:szCs w:val="24"/>
          <w:lang w:val="en-GB"/>
        </w:rPr>
        <w:t>.</w:t>
      </w:r>
      <w:r w:rsidRPr="00BD01B6">
        <w:rPr>
          <w:rFonts w:eastAsia="Times New Roman"/>
          <w:szCs w:val="24"/>
          <w:lang w:val="en-GB"/>
        </w:rPr>
        <w:t xml:space="preserve"> </w:t>
      </w:r>
    </w:p>
    <w:p w:rsidR="005F701B" w:rsidRPr="00BD01B6" w:rsidRDefault="005F701B" w:rsidP="005F701B">
      <w:pPr>
        <w:spacing w:after="0" w:line="240" w:lineRule="auto"/>
        <w:ind w:left="426" w:hanging="426"/>
        <w:contextualSpacing/>
        <w:jc w:val="both"/>
        <w:rPr>
          <w:i/>
          <w:szCs w:val="24"/>
          <w:lang w:val="en-GB"/>
        </w:rPr>
      </w:pPr>
    </w:p>
    <w:p w:rsidR="005F701B" w:rsidRPr="00BD01B6" w:rsidRDefault="005F701B" w:rsidP="005F701B">
      <w:pPr>
        <w:spacing w:after="0" w:line="240" w:lineRule="auto"/>
        <w:jc w:val="both"/>
        <w:rPr>
          <w:b/>
          <w:i/>
          <w:szCs w:val="24"/>
          <w:lang w:val="en-GB"/>
        </w:rPr>
      </w:pPr>
      <w:r w:rsidRPr="00BD01B6">
        <w:rPr>
          <w:b/>
          <w:i/>
          <w:szCs w:val="24"/>
          <w:lang w:val="en-GB"/>
        </w:rPr>
        <w:t>Recommendation</w:t>
      </w:r>
    </w:p>
    <w:p w:rsidR="005F701B" w:rsidRDefault="005F701B" w:rsidP="005F701B">
      <w:pPr>
        <w:spacing w:after="0" w:line="240" w:lineRule="auto"/>
        <w:contextualSpacing/>
        <w:jc w:val="both"/>
        <w:rPr>
          <w:szCs w:val="24"/>
          <w:lang w:val="en-GB"/>
        </w:rPr>
      </w:pPr>
    </w:p>
    <w:p w:rsidR="00454466" w:rsidRPr="00454466" w:rsidRDefault="00454466" w:rsidP="00454466">
      <w:pPr>
        <w:spacing w:after="0" w:line="240" w:lineRule="auto"/>
        <w:jc w:val="both"/>
        <w:rPr>
          <w:szCs w:val="24"/>
          <w:lang w:val="en-GB"/>
        </w:rPr>
      </w:pPr>
      <w:r w:rsidRPr="00454466">
        <w:rPr>
          <w:szCs w:val="24"/>
          <w:lang w:val="en-GB"/>
        </w:rPr>
        <w:t xml:space="preserve">Appropriate measures should be taken in respect </w:t>
      </w:r>
      <w:r w:rsidR="004A710B">
        <w:rPr>
          <w:szCs w:val="24"/>
          <w:lang w:val="en-GB"/>
        </w:rPr>
        <w:t>of the expired herbal, chemical</w:t>
      </w:r>
      <w:r w:rsidRPr="00454466">
        <w:rPr>
          <w:szCs w:val="24"/>
          <w:lang w:val="en-GB"/>
        </w:rPr>
        <w:t xml:space="preserve"> and medical products</w:t>
      </w:r>
      <w:r w:rsidR="00951F36">
        <w:rPr>
          <w:szCs w:val="24"/>
          <w:lang w:val="en-GB"/>
        </w:rPr>
        <w:t>,</w:t>
      </w:r>
      <w:r w:rsidR="004A710B">
        <w:rPr>
          <w:szCs w:val="24"/>
          <w:lang w:val="en-GB"/>
        </w:rPr>
        <w:t xml:space="preserve"> and </w:t>
      </w:r>
      <w:r w:rsidR="004A710B" w:rsidRPr="00454466">
        <w:rPr>
          <w:szCs w:val="24"/>
          <w:lang w:val="en-GB"/>
        </w:rPr>
        <w:t>insecticides</w:t>
      </w:r>
      <w:r w:rsidRPr="00454466">
        <w:rPr>
          <w:szCs w:val="24"/>
          <w:lang w:val="en-GB"/>
        </w:rPr>
        <w:t xml:space="preserve">. Customs should ensure that these products are destroyed according to prescribed regulations. </w:t>
      </w:r>
    </w:p>
    <w:p w:rsidR="005F701B" w:rsidRDefault="005F701B" w:rsidP="005F701B">
      <w:pPr>
        <w:tabs>
          <w:tab w:val="left" w:pos="914"/>
        </w:tabs>
        <w:spacing w:after="0" w:line="240" w:lineRule="auto"/>
        <w:jc w:val="both"/>
        <w:rPr>
          <w:b/>
          <w:i/>
          <w:szCs w:val="24"/>
        </w:rPr>
      </w:pPr>
    </w:p>
    <w:p w:rsidR="005F701B" w:rsidRPr="00BD01B6" w:rsidRDefault="005F701B" w:rsidP="005F701B">
      <w:pPr>
        <w:tabs>
          <w:tab w:val="left" w:pos="914"/>
        </w:tabs>
        <w:spacing w:after="0" w:line="240" w:lineRule="auto"/>
        <w:jc w:val="both"/>
        <w:rPr>
          <w:b/>
          <w:i/>
          <w:szCs w:val="24"/>
        </w:rPr>
      </w:pPr>
      <w:r w:rsidRPr="00BD01B6">
        <w:rPr>
          <w:b/>
          <w:i/>
          <w:szCs w:val="24"/>
        </w:rPr>
        <w:t>Management’s Reply</w:t>
      </w:r>
    </w:p>
    <w:p w:rsidR="005F701B" w:rsidRPr="00BD01B6" w:rsidRDefault="005F701B" w:rsidP="005F701B">
      <w:pPr>
        <w:tabs>
          <w:tab w:val="left" w:pos="914"/>
        </w:tabs>
        <w:spacing w:after="0" w:line="240" w:lineRule="auto"/>
        <w:jc w:val="both"/>
        <w:rPr>
          <w:i/>
          <w:szCs w:val="24"/>
        </w:rPr>
      </w:pPr>
    </w:p>
    <w:p w:rsidR="00454466" w:rsidRPr="00454466" w:rsidRDefault="00454466" w:rsidP="00454466">
      <w:pPr>
        <w:tabs>
          <w:tab w:val="left" w:pos="914"/>
        </w:tabs>
        <w:spacing w:after="0" w:line="240" w:lineRule="auto"/>
        <w:jc w:val="both"/>
        <w:rPr>
          <w:strike/>
          <w:szCs w:val="24"/>
          <w:lang w:val="en-GB"/>
        </w:rPr>
      </w:pPr>
      <w:r w:rsidRPr="00454466">
        <w:rPr>
          <w:szCs w:val="24"/>
          <w:lang w:val="en-GB"/>
        </w:rPr>
        <w:t>For all the expired goods, MRA Customs is liaising with the contractor of the Ministry of Social Security, National Solidarity, and Environment and S</w:t>
      </w:r>
      <w:r w:rsidR="00951F36">
        <w:rPr>
          <w:szCs w:val="24"/>
          <w:lang w:val="en-GB"/>
        </w:rPr>
        <w:t xml:space="preserve">ustainable Development </w:t>
      </w:r>
      <w:r w:rsidRPr="00454466">
        <w:rPr>
          <w:szCs w:val="24"/>
          <w:lang w:val="en-GB"/>
        </w:rPr>
        <w:t>to perform a survey for their ultimate disposal in early 2018.</w:t>
      </w:r>
    </w:p>
    <w:p w:rsidR="00454466" w:rsidRPr="00454466" w:rsidRDefault="00454466" w:rsidP="00454466">
      <w:pPr>
        <w:tabs>
          <w:tab w:val="left" w:pos="914"/>
        </w:tabs>
        <w:spacing w:after="0" w:line="240" w:lineRule="auto"/>
        <w:jc w:val="both"/>
        <w:rPr>
          <w:strike/>
          <w:szCs w:val="24"/>
          <w:lang w:val="en-GB"/>
        </w:rPr>
      </w:pPr>
    </w:p>
    <w:p w:rsidR="00454466" w:rsidRPr="00454466" w:rsidRDefault="00454466" w:rsidP="00454466">
      <w:pPr>
        <w:tabs>
          <w:tab w:val="left" w:pos="914"/>
        </w:tabs>
        <w:spacing w:after="0" w:line="240" w:lineRule="auto"/>
        <w:jc w:val="both"/>
        <w:rPr>
          <w:strike/>
          <w:szCs w:val="24"/>
          <w:lang w:val="en-GB"/>
        </w:rPr>
      </w:pPr>
      <w:r w:rsidRPr="00454466">
        <w:rPr>
          <w:szCs w:val="24"/>
          <w:lang w:val="en-GB"/>
        </w:rPr>
        <w:t>The insecticides and medical products did not get necessary clearance from the relevant authorities. Being prohibited and potentially dangerous</w:t>
      </w:r>
      <w:r w:rsidR="004A710B">
        <w:rPr>
          <w:szCs w:val="24"/>
          <w:lang w:val="en-GB"/>
        </w:rPr>
        <w:t>,</w:t>
      </w:r>
      <w:r w:rsidRPr="00454466">
        <w:rPr>
          <w:szCs w:val="24"/>
          <w:lang w:val="en-GB"/>
        </w:rPr>
        <w:t xml:space="preserve"> the goods were not transferred to the Customs Warehouse as they could contaminate other saleable goods. </w:t>
      </w:r>
    </w:p>
    <w:p w:rsidR="005F701B" w:rsidRDefault="005F701B" w:rsidP="005F701B">
      <w:pPr>
        <w:spacing w:after="0" w:line="240" w:lineRule="auto"/>
        <w:contextualSpacing/>
        <w:jc w:val="both"/>
        <w:rPr>
          <w:szCs w:val="24"/>
          <w:lang w:val="en-GB"/>
        </w:rPr>
      </w:pPr>
    </w:p>
    <w:p w:rsidR="005F701B" w:rsidRPr="00BD01B6" w:rsidRDefault="00DE09C2" w:rsidP="005F701B">
      <w:pPr>
        <w:spacing w:after="0" w:line="240" w:lineRule="auto"/>
        <w:jc w:val="both"/>
        <w:rPr>
          <w:b/>
          <w:i/>
          <w:szCs w:val="24"/>
          <w:lang w:val="en-GB"/>
        </w:rPr>
      </w:pPr>
      <w:r>
        <w:rPr>
          <w:b/>
          <w:i/>
          <w:szCs w:val="24"/>
        </w:rPr>
        <w:t>6.7</w:t>
      </w:r>
      <w:r w:rsidR="005F701B" w:rsidRPr="00BD01B6">
        <w:rPr>
          <w:b/>
          <w:i/>
          <w:szCs w:val="24"/>
        </w:rPr>
        <w:t>.2</w:t>
      </w:r>
      <w:r w:rsidR="005F701B" w:rsidRPr="00BD01B6">
        <w:rPr>
          <w:b/>
          <w:i/>
          <w:szCs w:val="24"/>
        </w:rPr>
        <w:tab/>
        <w:t xml:space="preserve">Site </w:t>
      </w:r>
      <w:r w:rsidR="005F701B">
        <w:rPr>
          <w:b/>
          <w:i/>
          <w:szCs w:val="24"/>
        </w:rPr>
        <w:t>V</w:t>
      </w:r>
      <w:r w:rsidR="005F701B" w:rsidRPr="00BD01B6">
        <w:rPr>
          <w:b/>
          <w:i/>
          <w:szCs w:val="24"/>
        </w:rPr>
        <w:t>isit effected on 11 October 2017</w:t>
      </w:r>
    </w:p>
    <w:p w:rsidR="005F701B" w:rsidRPr="00BD01B6" w:rsidRDefault="005F701B" w:rsidP="005F701B">
      <w:pPr>
        <w:spacing w:after="0" w:line="240" w:lineRule="auto"/>
        <w:jc w:val="both"/>
        <w:rPr>
          <w:b/>
          <w:i/>
          <w:szCs w:val="24"/>
        </w:rPr>
      </w:pPr>
    </w:p>
    <w:p w:rsidR="005F701B" w:rsidRPr="00BD01B6" w:rsidRDefault="005F701B" w:rsidP="005F701B">
      <w:pPr>
        <w:spacing w:after="0" w:line="240" w:lineRule="auto"/>
        <w:jc w:val="both"/>
        <w:rPr>
          <w:szCs w:val="24"/>
          <w:lang w:val="en-GB"/>
        </w:rPr>
      </w:pPr>
      <w:r w:rsidRPr="00E96647">
        <w:rPr>
          <w:szCs w:val="24"/>
        </w:rPr>
        <w:t xml:space="preserve">Dangerous </w:t>
      </w:r>
      <w:r>
        <w:rPr>
          <w:szCs w:val="24"/>
        </w:rPr>
        <w:t>G</w:t>
      </w:r>
      <w:r w:rsidRPr="00E96647">
        <w:rPr>
          <w:szCs w:val="24"/>
        </w:rPr>
        <w:t>oods</w:t>
      </w:r>
      <w:r w:rsidRPr="00E96647">
        <w:rPr>
          <w:szCs w:val="24"/>
          <w:lang w:val="en-GB"/>
        </w:rPr>
        <w:t xml:space="preserve"> </w:t>
      </w:r>
      <w:r>
        <w:rPr>
          <w:szCs w:val="24"/>
          <w:lang w:val="en-GB"/>
        </w:rPr>
        <w:t xml:space="preserve">(DGRs) </w:t>
      </w:r>
      <w:r w:rsidRPr="00BD01B6">
        <w:rPr>
          <w:szCs w:val="24"/>
          <w:lang w:val="en-GB"/>
        </w:rPr>
        <w:t xml:space="preserve">were found overlying in </w:t>
      </w:r>
      <w:r>
        <w:rPr>
          <w:szCs w:val="24"/>
          <w:lang w:val="en-GB"/>
        </w:rPr>
        <w:t>a</w:t>
      </w:r>
      <w:r w:rsidRPr="00BD01B6">
        <w:rPr>
          <w:szCs w:val="24"/>
          <w:lang w:val="en-GB"/>
        </w:rPr>
        <w:t xml:space="preserve"> Freight Station</w:t>
      </w:r>
      <w:r>
        <w:rPr>
          <w:szCs w:val="24"/>
          <w:lang w:val="en-GB"/>
        </w:rPr>
        <w:t xml:space="preserve"> at </w:t>
      </w:r>
      <w:proofErr w:type="spellStart"/>
      <w:r w:rsidRPr="00BD01B6">
        <w:rPr>
          <w:szCs w:val="24"/>
          <w:lang w:val="en-GB"/>
        </w:rPr>
        <w:t>Plaisance</w:t>
      </w:r>
      <w:proofErr w:type="spellEnd"/>
      <w:r w:rsidRPr="00B5712C">
        <w:rPr>
          <w:szCs w:val="24"/>
        </w:rPr>
        <w:t xml:space="preserve"> Air Transport Services Ltd (PATS)</w:t>
      </w:r>
      <w:r w:rsidRPr="00BD01B6">
        <w:rPr>
          <w:szCs w:val="24"/>
          <w:lang w:val="en-GB"/>
        </w:rPr>
        <w:t>.</w:t>
      </w:r>
    </w:p>
    <w:p w:rsidR="005F701B" w:rsidRDefault="005F701B" w:rsidP="005F701B">
      <w:pPr>
        <w:spacing w:after="0" w:line="240" w:lineRule="auto"/>
        <w:jc w:val="both"/>
        <w:rPr>
          <w:szCs w:val="24"/>
          <w:lang w:val="en-GB"/>
        </w:rPr>
      </w:pPr>
    </w:p>
    <w:p w:rsidR="005F701B" w:rsidRPr="00E96647" w:rsidRDefault="005F701B" w:rsidP="005F701B">
      <w:pPr>
        <w:spacing w:after="0" w:line="240" w:lineRule="auto"/>
        <w:jc w:val="both"/>
        <w:rPr>
          <w:i/>
          <w:szCs w:val="24"/>
        </w:rPr>
      </w:pPr>
      <w:proofErr w:type="spellStart"/>
      <w:r w:rsidRPr="00E96647">
        <w:rPr>
          <w:i/>
          <w:szCs w:val="24"/>
        </w:rPr>
        <w:t>Commint</w:t>
      </w:r>
      <w:proofErr w:type="spellEnd"/>
      <w:r w:rsidRPr="00E96647">
        <w:rPr>
          <w:i/>
          <w:szCs w:val="24"/>
        </w:rPr>
        <w:t xml:space="preserve"> Oil Essence</w:t>
      </w:r>
    </w:p>
    <w:p w:rsidR="005F701B" w:rsidRPr="00BD01B6" w:rsidRDefault="005F701B" w:rsidP="005F701B">
      <w:pPr>
        <w:spacing w:after="0" w:line="240" w:lineRule="auto"/>
        <w:jc w:val="both"/>
        <w:rPr>
          <w:szCs w:val="24"/>
          <w:lang w:val="en-GB"/>
        </w:rPr>
      </w:pPr>
    </w:p>
    <w:p w:rsidR="005F701B" w:rsidRPr="00BD01B6" w:rsidRDefault="005F701B" w:rsidP="005F701B">
      <w:pPr>
        <w:pStyle w:val="ListParagraph"/>
        <w:spacing w:after="0" w:line="240" w:lineRule="auto"/>
        <w:ind w:left="0"/>
        <w:jc w:val="both"/>
        <w:rPr>
          <w:i/>
        </w:rPr>
      </w:pPr>
      <w:r>
        <w:t>30</w:t>
      </w:r>
      <w:r w:rsidRPr="00BD01B6">
        <w:t xml:space="preserve"> kg of </w:t>
      </w:r>
      <w:proofErr w:type="spellStart"/>
      <w:r w:rsidRPr="00BD01B6">
        <w:t>commint</w:t>
      </w:r>
      <w:proofErr w:type="spellEnd"/>
      <w:r w:rsidRPr="00BD01B6">
        <w:t xml:space="preserve"> oil essence, classified as DGRs, were found </w:t>
      </w:r>
      <w:r w:rsidR="009F0858">
        <w:t>overlying since July 2006. The expiry date</w:t>
      </w:r>
      <w:r w:rsidRPr="00BD01B6">
        <w:t xml:space="preserve"> co</w:t>
      </w:r>
      <w:r w:rsidR="009F0858">
        <w:t>uld not be verified due to its</w:t>
      </w:r>
      <w:r w:rsidRPr="00BD01B6">
        <w:t xml:space="preserve"> dangerous nature. Although the Ministry of Social Security, National Solidarity, and Environment and Sustainable Development was requested on 11 </w:t>
      </w:r>
      <w:r w:rsidR="009F0858">
        <w:t>August 2017, to dispose of the</w:t>
      </w:r>
      <w:r w:rsidRPr="00BD01B6">
        <w:t xml:space="preserve"> DGRs, they were still </w:t>
      </w:r>
      <w:r>
        <w:t>kept</w:t>
      </w:r>
      <w:r w:rsidRPr="00BD01B6">
        <w:t xml:space="preserve"> at the Freight Station.</w:t>
      </w:r>
    </w:p>
    <w:p w:rsidR="005F701B" w:rsidRDefault="005F701B" w:rsidP="005F701B">
      <w:pPr>
        <w:pStyle w:val="ListParagraph"/>
        <w:spacing w:after="0" w:line="240" w:lineRule="auto"/>
        <w:ind w:left="0"/>
        <w:jc w:val="both"/>
      </w:pPr>
    </w:p>
    <w:p w:rsidR="005F701B" w:rsidRPr="00E96647" w:rsidRDefault="005F701B" w:rsidP="005F701B">
      <w:pPr>
        <w:pStyle w:val="ListParagraph"/>
        <w:spacing w:after="0" w:line="240" w:lineRule="auto"/>
        <w:ind w:left="0"/>
        <w:jc w:val="both"/>
        <w:rPr>
          <w:i/>
        </w:rPr>
      </w:pPr>
      <w:r w:rsidRPr="00E96647">
        <w:rPr>
          <w:i/>
        </w:rPr>
        <w:t>Liquid Solutions</w:t>
      </w:r>
    </w:p>
    <w:p w:rsidR="005F701B" w:rsidRPr="00BD01B6" w:rsidRDefault="005F701B" w:rsidP="005F701B">
      <w:pPr>
        <w:pStyle w:val="ListParagraph"/>
        <w:spacing w:after="0" w:line="240" w:lineRule="auto"/>
        <w:ind w:left="0"/>
        <w:jc w:val="both"/>
      </w:pPr>
    </w:p>
    <w:p w:rsidR="005F701B" w:rsidRPr="00BD01B6" w:rsidRDefault="005F701B" w:rsidP="005F701B">
      <w:pPr>
        <w:pStyle w:val="ListParagraph"/>
        <w:spacing w:after="0" w:line="240" w:lineRule="auto"/>
        <w:ind w:left="0"/>
        <w:jc w:val="both"/>
      </w:pPr>
      <w:r w:rsidRPr="00BD01B6">
        <w:t>Four kg of disinfectant liquid solutions and 113 kg of another liquid (description not available), both classified as DGRs, were overlying since 2008 and 2010 respectively. Expiry dates were not available o</w:t>
      </w:r>
      <w:r w:rsidR="009F0858">
        <w:t>n most of the overlying liquid solutions.</w:t>
      </w:r>
    </w:p>
    <w:p w:rsidR="005F701B" w:rsidRDefault="005F701B" w:rsidP="005F701B">
      <w:pPr>
        <w:tabs>
          <w:tab w:val="left" w:pos="914"/>
        </w:tabs>
        <w:spacing w:after="0" w:line="240" w:lineRule="auto"/>
        <w:jc w:val="both"/>
        <w:rPr>
          <w:b/>
          <w:i/>
          <w:szCs w:val="24"/>
        </w:rPr>
      </w:pPr>
    </w:p>
    <w:p w:rsidR="005F701B" w:rsidRPr="00BD01B6" w:rsidRDefault="005F701B" w:rsidP="005F701B">
      <w:pPr>
        <w:spacing w:after="0" w:line="240" w:lineRule="auto"/>
        <w:jc w:val="both"/>
        <w:rPr>
          <w:b/>
          <w:i/>
          <w:szCs w:val="24"/>
        </w:rPr>
      </w:pPr>
      <w:r w:rsidRPr="00BD01B6">
        <w:rPr>
          <w:b/>
          <w:i/>
          <w:szCs w:val="24"/>
        </w:rPr>
        <w:t>Recommendation</w:t>
      </w:r>
    </w:p>
    <w:p w:rsidR="005F701B" w:rsidRPr="00BD01B6" w:rsidRDefault="005F701B" w:rsidP="005F701B">
      <w:pPr>
        <w:spacing w:after="0" w:line="240" w:lineRule="auto"/>
        <w:jc w:val="both"/>
        <w:rPr>
          <w:i/>
          <w:szCs w:val="24"/>
        </w:rPr>
      </w:pPr>
    </w:p>
    <w:p w:rsidR="005F701B" w:rsidRPr="00BD01B6" w:rsidRDefault="005F701B" w:rsidP="005F701B">
      <w:pPr>
        <w:spacing w:after="0" w:line="240" w:lineRule="auto"/>
        <w:jc w:val="both"/>
        <w:rPr>
          <w:szCs w:val="24"/>
        </w:rPr>
      </w:pPr>
      <w:r w:rsidRPr="00BD01B6">
        <w:rPr>
          <w:szCs w:val="24"/>
        </w:rPr>
        <w:t xml:space="preserve">Customs should ensure that these dangerous products are destroyed according to </w:t>
      </w:r>
      <w:r>
        <w:rPr>
          <w:szCs w:val="24"/>
        </w:rPr>
        <w:t xml:space="preserve">prescribed </w:t>
      </w:r>
      <w:r w:rsidR="009F0858">
        <w:rPr>
          <w:szCs w:val="24"/>
        </w:rPr>
        <w:t>regulations</w:t>
      </w:r>
      <w:r w:rsidRPr="00BD01B6">
        <w:rPr>
          <w:szCs w:val="24"/>
        </w:rPr>
        <w:t>.</w:t>
      </w:r>
    </w:p>
    <w:p w:rsidR="009B3218" w:rsidRDefault="009B3218" w:rsidP="005F701B">
      <w:pPr>
        <w:tabs>
          <w:tab w:val="left" w:pos="914"/>
        </w:tabs>
        <w:spacing w:after="0" w:line="240" w:lineRule="auto"/>
        <w:jc w:val="both"/>
        <w:rPr>
          <w:b/>
          <w:i/>
          <w:szCs w:val="24"/>
        </w:rPr>
      </w:pPr>
    </w:p>
    <w:p w:rsidR="005F701B" w:rsidRPr="00BD01B6" w:rsidRDefault="005F701B" w:rsidP="005F701B">
      <w:pPr>
        <w:tabs>
          <w:tab w:val="left" w:pos="914"/>
        </w:tabs>
        <w:spacing w:after="0" w:line="240" w:lineRule="auto"/>
        <w:jc w:val="both"/>
        <w:rPr>
          <w:b/>
          <w:i/>
          <w:szCs w:val="24"/>
        </w:rPr>
      </w:pPr>
      <w:r w:rsidRPr="00BD01B6">
        <w:rPr>
          <w:b/>
          <w:i/>
          <w:szCs w:val="24"/>
        </w:rPr>
        <w:t>Management Reply</w:t>
      </w:r>
    </w:p>
    <w:p w:rsidR="005F701B" w:rsidRPr="00BD01B6" w:rsidRDefault="005F701B" w:rsidP="005F701B">
      <w:pPr>
        <w:tabs>
          <w:tab w:val="left" w:pos="914"/>
        </w:tabs>
        <w:spacing w:after="0" w:line="240" w:lineRule="auto"/>
        <w:jc w:val="both"/>
        <w:rPr>
          <w:i/>
          <w:szCs w:val="24"/>
        </w:rPr>
      </w:pPr>
    </w:p>
    <w:p w:rsidR="00454466" w:rsidRPr="00454466" w:rsidRDefault="00454466" w:rsidP="00454466">
      <w:pPr>
        <w:autoSpaceDE w:val="0"/>
        <w:autoSpaceDN w:val="0"/>
        <w:adjustRightInd w:val="0"/>
        <w:spacing w:after="0" w:line="240" w:lineRule="auto"/>
        <w:jc w:val="both"/>
        <w:rPr>
          <w:szCs w:val="24"/>
          <w:lang w:val="en-GB"/>
        </w:rPr>
      </w:pPr>
      <w:r w:rsidRPr="00454466">
        <w:rPr>
          <w:szCs w:val="24"/>
          <w:lang w:val="en-GB"/>
        </w:rPr>
        <w:t xml:space="preserve">Customs is liaising with the relevant Ministries/Authorities for the destruction of all the hazardous/expired goods. Surveys have been carried out by the contractor of Ministry of Social Security, National Solidarity, and Environment and </w:t>
      </w:r>
      <w:r w:rsidR="00951F36">
        <w:rPr>
          <w:szCs w:val="24"/>
          <w:lang w:val="en-GB"/>
        </w:rPr>
        <w:t>Sustainable Development</w:t>
      </w:r>
      <w:r w:rsidRPr="00454466">
        <w:rPr>
          <w:szCs w:val="24"/>
          <w:lang w:val="en-GB"/>
        </w:rPr>
        <w:t xml:space="preserve"> on </w:t>
      </w:r>
      <w:r w:rsidR="00951F36">
        <w:rPr>
          <w:szCs w:val="24"/>
          <w:lang w:val="en-GB"/>
        </w:rPr>
        <w:br/>
      </w:r>
      <w:r w:rsidRPr="00454466">
        <w:rPr>
          <w:szCs w:val="24"/>
          <w:lang w:val="en-GB"/>
        </w:rPr>
        <w:t xml:space="preserve">9 November 2017. All costs of destruction of these hazardous products will be borne by the Ground Handling Agents. </w:t>
      </w:r>
    </w:p>
    <w:p w:rsidR="00454466" w:rsidRDefault="00454466" w:rsidP="005F701B">
      <w:pPr>
        <w:tabs>
          <w:tab w:val="left" w:pos="914"/>
        </w:tabs>
        <w:spacing w:after="0" w:line="240" w:lineRule="auto"/>
        <w:jc w:val="both"/>
        <w:rPr>
          <w:b/>
          <w:bCs/>
          <w:iCs/>
          <w:szCs w:val="24"/>
          <w:lang w:val="en-GB"/>
        </w:rPr>
      </w:pPr>
    </w:p>
    <w:p w:rsidR="00A33577" w:rsidRDefault="00A33577">
      <w:pPr>
        <w:rPr>
          <w:b/>
          <w:bCs/>
          <w:iCs/>
          <w:szCs w:val="24"/>
          <w:lang w:val="en-GB"/>
        </w:rPr>
      </w:pPr>
      <w:r>
        <w:rPr>
          <w:b/>
          <w:bCs/>
          <w:iCs/>
          <w:szCs w:val="24"/>
          <w:lang w:val="en-GB"/>
        </w:rPr>
        <w:br w:type="page"/>
      </w:r>
    </w:p>
    <w:p w:rsidR="005F701B" w:rsidRPr="00573851" w:rsidRDefault="00DE09C2" w:rsidP="005F701B">
      <w:pPr>
        <w:tabs>
          <w:tab w:val="left" w:pos="720"/>
        </w:tabs>
        <w:spacing w:after="0" w:line="240" w:lineRule="auto"/>
        <w:jc w:val="both"/>
      </w:pPr>
      <w:r>
        <w:rPr>
          <w:b/>
          <w:bCs/>
          <w:iCs/>
          <w:szCs w:val="24"/>
          <w:lang w:val="en-GB"/>
        </w:rPr>
        <w:lastRenderedPageBreak/>
        <w:t>6.8</w:t>
      </w:r>
      <w:r w:rsidR="005F701B" w:rsidRPr="00573851">
        <w:rPr>
          <w:b/>
          <w:bCs/>
          <w:iCs/>
          <w:szCs w:val="24"/>
          <w:lang w:val="en-GB"/>
        </w:rPr>
        <w:tab/>
        <w:t xml:space="preserve">Containers not in Customs Management System </w:t>
      </w:r>
    </w:p>
    <w:p w:rsidR="005F701B" w:rsidRDefault="005F701B" w:rsidP="005F701B">
      <w:pPr>
        <w:spacing w:after="0" w:line="240" w:lineRule="auto"/>
        <w:jc w:val="both"/>
        <w:rPr>
          <w:szCs w:val="24"/>
        </w:rPr>
      </w:pPr>
    </w:p>
    <w:p w:rsidR="005F701B" w:rsidRPr="000B5EDB" w:rsidRDefault="005F701B" w:rsidP="005F701B">
      <w:pPr>
        <w:spacing w:after="0" w:line="240" w:lineRule="auto"/>
        <w:jc w:val="both"/>
        <w:rPr>
          <w:szCs w:val="24"/>
        </w:rPr>
      </w:pPr>
      <w:r w:rsidRPr="000B5EDB">
        <w:rPr>
          <w:szCs w:val="24"/>
        </w:rPr>
        <w:t xml:space="preserve">At paragraph </w:t>
      </w:r>
      <w:r>
        <w:rPr>
          <w:szCs w:val="24"/>
        </w:rPr>
        <w:t>7.4.</w:t>
      </w:r>
      <w:r w:rsidRPr="000B5EDB">
        <w:rPr>
          <w:szCs w:val="24"/>
        </w:rPr>
        <w:t xml:space="preserve">2 of the </w:t>
      </w:r>
      <w:r w:rsidRPr="00B24242">
        <w:rPr>
          <w:szCs w:val="24"/>
        </w:rPr>
        <w:t>Audit Report for the 18-month period 1 January 2015 to 30 June 2016</w:t>
      </w:r>
      <w:r w:rsidRPr="000B5EDB">
        <w:rPr>
          <w:szCs w:val="24"/>
        </w:rPr>
        <w:t xml:space="preserve">, mention was made that 35 containers were overlying </w:t>
      </w:r>
      <w:r w:rsidR="009F0858">
        <w:rPr>
          <w:szCs w:val="24"/>
        </w:rPr>
        <w:t>at MPT</w:t>
      </w:r>
      <w:r>
        <w:rPr>
          <w:szCs w:val="24"/>
        </w:rPr>
        <w:t xml:space="preserve"> since </w:t>
      </w:r>
      <w:r w:rsidRPr="000B5EDB">
        <w:rPr>
          <w:szCs w:val="24"/>
        </w:rPr>
        <w:t>prior to 1996</w:t>
      </w:r>
      <w:r>
        <w:rPr>
          <w:szCs w:val="24"/>
        </w:rPr>
        <w:t>. N</w:t>
      </w:r>
      <w:r w:rsidRPr="000B5EDB">
        <w:rPr>
          <w:szCs w:val="24"/>
        </w:rPr>
        <w:t xml:space="preserve">o information about </w:t>
      </w:r>
      <w:r>
        <w:rPr>
          <w:szCs w:val="24"/>
        </w:rPr>
        <w:t>the containers</w:t>
      </w:r>
      <w:r w:rsidRPr="000B5EDB">
        <w:rPr>
          <w:szCs w:val="24"/>
        </w:rPr>
        <w:t xml:space="preserve"> was available in CMS</w:t>
      </w:r>
      <w:r>
        <w:rPr>
          <w:szCs w:val="24"/>
        </w:rPr>
        <w:t xml:space="preserve"> and no </w:t>
      </w:r>
      <w:r w:rsidRPr="000B5EDB">
        <w:rPr>
          <w:szCs w:val="24"/>
        </w:rPr>
        <w:t>Customs seal</w:t>
      </w:r>
      <w:r>
        <w:rPr>
          <w:szCs w:val="24"/>
        </w:rPr>
        <w:t xml:space="preserve"> was found</w:t>
      </w:r>
      <w:r w:rsidRPr="000B5EDB">
        <w:rPr>
          <w:szCs w:val="24"/>
        </w:rPr>
        <w:t xml:space="preserve"> </w:t>
      </w:r>
      <w:r>
        <w:rPr>
          <w:szCs w:val="24"/>
        </w:rPr>
        <w:t>o</w:t>
      </w:r>
      <w:r w:rsidRPr="000B5EDB">
        <w:rPr>
          <w:szCs w:val="24"/>
        </w:rPr>
        <w:t>n most of the</w:t>
      </w:r>
      <w:r>
        <w:rPr>
          <w:szCs w:val="24"/>
        </w:rPr>
        <w:t>m</w:t>
      </w:r>
      <w:r w:rsidRPr="000B5EDB">
        <w:rPr>
          <w:szCs w:val="24"/>
        </w:rPr>
        <w:t>.</w:t>
      </w:r>
    </w:p>
    <w:p w:rsidR="005F701B" w:rsidRPr="009863B5" w:rsidRDefault="005F701B" w:rsidP="005F701B">
      <w:pPr>
        <w:tabs>
          <w:tab w:val="left" w:pos="914"/>
        </w:tabs>
        <w:spacing w:after="0" w:line="240" w:lineRule="auto"/>
        <w:jc w:val="both"/>
        <w:rPr>
          <w:color w:val="FF0000"/>
        </w:rPr>
      </w:pPr>
    </w:p>
    <w:p w:rsidR="005F701B" w:rsidRPr="00E66ABF" w:rsidRDefault="005F701B" w:rsidP="005F701B">
      <w:pPr>
        <w:spacing w:after="0" w:line="240" w:lineRule="auto"/>
        <w:contextualSpacing/>
        <w:jc w:val="both"/>
        <w:rPr>
          <w:szCs w:val="24"/>
        </w:rPr>
      </w:pPr>
      <w:r w:rsidRPr="002C77B5">
        <w:rPr>
          <w:szCs w:val="24"/>
        </w:rPr>
        <w:t xml:space="preserve">During </w:t>
      </w:r>
      <w:r>
        <w:rPr>
          <w:szCs w:val="24"/>
        </w:rPr>
        <w:t>a</w:t>
      </w:r>
      <w:r w:rsidRPr="002C77B5">
        <w:rPr>
          <w:szCs w:val="24"/>
        </w:rPr>
        <w:t xml:space="preserve"> visit </w:t>
      </w:r>
      <w:r>
        <w:rPr>
          <w:szCs w:val="24"/>
        </w:rPr>
        <w:t>effected</w:t>
      </w:r>
      <w:r w:rsidRPr="002C77B5">
        <w:rPr>
          <w:szCs w:val="24"/>
        </w:rPr>
        <w:t xml:space="preserve"> </w:t>
      </w:r>
      <w:r>
        <w:rPr>
          <w:szCs w:val="24"/>
        </w:rPr>
        <w:t xml:space="preserve">by my Officers </w:t>
      </w:r>
      <w:r w:rsidRPr="002C77B5">
        <w:rPr>
          <w:szCs w:val="24"/>
        </w:rPr>
        <w:t>on 29 August 2017, some of the containers were seen in</w:t>
      </w:r>
      <w:r>
        <w:rPr>
          <w:szCs w:val="24"/>
        </w:rPr>
        <w:t xml:space="preserve"> a</w:t>
      </w:r>
      <w:r w:rsidRPr="00CE24BF">
        <w:rPr>
          <w:szCs w:val="24"/>
        </w:rPr>
        <w:t xml:space="preserve"> deplorable state</w:t>
      </w:r>
      <w:r>
        <w:rPr>
          <w:szCs w:val="24"/>
        </w:rPr>
        <w:t>, with</w:t>
      </w:r>
      <w:r w:rsidRPr="00CE24BF">
        <w:rPr>
          <w:szCs w:val="24"/>
        </w:rPr>
        <w:t xml:space="preserve"> the doors and roofs completely rusted</w:t>
      </w:r>
      <w:r>
        <w:rPr>
          <w:szCs w:val="24"/>
        </w:rPr>
        <w:t>. T</w:t>
      </w:r>
      <w:r w:rsidRPr="00CE24BF">
        <w:rPr>
          <w:szCs w:val="24"/>
        </w:rPr>
        <w:t xml:space="preserve">hey </w:t>
      </w:r>
      <w:r>
        <w:rPr>
          <w:szCs w:val="24"/>
        </w:rPr>
        <w:t>were stuffed with</w:t>
      </w:r>
      <w:r w:rsidRPr="00CE24BF">
        <w:rPr>
          <w:rFonts w:eastAsia="Times New Roman"/>
          <w:szCs w:val="24"/>
        </w:rPr>
        <w:t xml:space="preserve"> high value items</w:t>
      </w:r>
      <w:r>
        <w:rPr>
          <w:rFonts w:eastAsia="Times New Roman"/>
          <w:szCs w:val="24"/>
        </w:rPr>
        <w:t>,</w:t>
      </w:r>
      <w:r w:rsidRPr="00CE24BF">
        <w:rPr>
          <w:rFonts w:eastAsia="Times New Roman"/>
          <w:szCs w:val="24"/>
        </w:rPr>
        <w:t xml:space="preserve"> namely </w:t>
      </w:r>
      <w:r w:rsidRPr="004E6819">
        <w:rPr>
          <w:rFonts w:eastAsia="Times New Roman"/>
          <w:szCs w:val="24"/>
        </w:rPr>
        <w:t>a second hand car</w:t>
      </w:r>
      <w:r w:rsidRPr="00CE24BF">
        <w:rPr>
          <w:rFonts w:eastAsia="Times New Roman"/>
          <w:szCs w:val="24"/>
        </w:rPr>
        <w:t xml:space="preserve">, motorcycles, </w:t>
      </w:r>
      <w:r>
        <w:rPr>
          <w:rFonts w:eastAsia="Times New Roman"/>
          <w:szCs w:val="24"/>
        </w:rPr>
        <w:t xml:space="preserve">several boxes of new </w:t>
      </w:r>
      <w:r w:rsidR="009F0858">
        <w:rPr>
          <w:rFonts w:eastAsia="Times New Roman"/>
          <w:szCs w:val="24"/>
        </w:rPr>
        <w:t xml:space="preserve">spare parts for </w:t>
      </w:r>
      <w:proofErr w:type="spellStart"/>
      <w:r w:rsidR="009F0858">
        <w:rPr>
          <w:rFonts w:eastAsia="Times New Roman"/>
          <w:szCs w:val="24"/>
        </w:rPr>
        <w:t>auto</w:t>
      </w:r>
      <w:r w:rsidRPr="00CE24BF">
        <w:rPr>
          <w:rFonts w:eastAsia="Times New Roman"/>
          <w:szCs w:val="24"/>
        </w:rPr>
        <w:t>cycles</w:t>
      </w:r>
      <w:proofErr w:type="spellEnd"/>
      <w:r w:rsidRPr="00CE24BF">
        <w:rPr>
          <w:rFonts w:eastAsia="Times New Roman"/>
          <w:szCs w:val="24"/>
        </w:rPr>
        <w:t xml:space="preserve"> and bicycles</w:t>
      </w:r>
      <w:r>
        <w:rPr>
          <w:rFonts w:eastAsia="Times New Roman"/>
          <w:szCs w:val="24"/>
        </w:rPr>
        <w:t>,</w:t>
      </w:r>
      <w:r w:rsidRPr="00CE24BF">
        <w:rPr>
          <w:rFonts w:eastAsia="Times New Roman"/>
          <w:szCs w:val="24"/>
        </w:rPr>
        <w:t xml:space="preserve"> </w:t>
      </w:r>
      <w:r>
        <w:rPr>
          <w:rFonts w:eastAsia="Times New Roman"/>
          <w:szCs w:val="24"/>
        </w:rPr>
        <w:t xml:space="preserve">large quantity of </w:t>
      </w:r>
      <w:r w:rsidRPr="00CE24BF">
        <w:rPr>
          <w:rFonts w:eastAsia="Times New Roman"/>
          <w:szCs w:val="24"/>
        </w:rPr>
        <w:t>bicycle wheels, and</w:t>
      </w:r>
      <w:r w:rsidRPr="00781B37">
        <w:rPr>
          <w:szCs w:val="24"/>
        </w:rPr>
        <w:t xml:space="preserve"> </w:t>
      </w:r>
      <w:r>
        <w:rPr>
          <w:szCs w:val="24"/>
        </w:rPr>
        <w:t xml:space="preserve">several cartons of </w:t>
      </w:r>
      <w:r w:rsidRPr="00781B37">
        <w:rPr>
          <w:szCs w:val="24"/>
        </w:rPr>
        <w:t xml:space="preserve">Scotch </w:t>
      </w:r>
      <w:proofErr w:type="gramStart"/>
      <w:r>
        <w:rPr>
          <w:szCs w:val="24"/>
        </w:rPr>
        <w:t>W</w:t>
      </w:r>
      <w:r w:rsidRPr="00781B37">
        <w:rPr>
          <w:szCs w:val="24"/>
        </w:rPr>
        <w:t>hisky</w:t>
      </w:r>
      <w:proofErr w:type="gramEnd"/>
      <w:r>
        <w:rPr>
          <w:szCs w:val="24"/>
        </w:rPr>
        <w:t>,</w:t>
      </w:r>
      <w:r w:rsidRPr="00781B37">
        <w:rPr>
          <w:szCs w:val="24"/>
        </w:rPr>
        <w:t xml:space="preserve"> </w:t>
      </w:r>
      <w:r w:rsidRPr="00CE24BF">
        <w:rPr>
          <w:rFonts w:eastAsia="Times New Roman"/>
          <w:szCs w:val="24"/>
        </w:rPr>
        <w:t>among</w:t>
      </w:r>
      <w:r>
        <w:rPr>
          <w:rFonts w:eastAsia="Times New Roman"/>
          <w:szCs w:val="24"/>
        </w:rPr>
        <w:t>st</w:t>
      </w:r>
      <w:r w:rsidRPr="00CE24BF">
        <w:rPr>
          <w:rFonts w:eastAsia="Times New Roman"/>
          <w:szCs w:val="24"/>
        </w:rPr>
        <w:t xml:space="preserve"> </w:t>
      </w:r>
      <w:r w:rsidRPr="00E66ABF">
        <w:rPr>
          <w:rFonts w:eastAsia="Times New Roman"/>
          <w:szCs w:val="24"/>
        </w:rPr>
        <w:t>others.</w:t>
      </w:r>
      <w:r w:rsidRPr="00E66ABF">
        <w:rPr>
          <w:szCs w:val="24"/>
        </w:rPr>
        <w:t xml:space="preserve"> At 30 November 2017, 23 </w:t>
      </w:r>
      <w:r>
        <w:rPr>
          <w:szCs w:val="24"/>
        </w:rPr>
        <w:t xml:space="preserve">of the 35 </w:t>
      </w:r>
      <w:r w:rsidRPr="00E66ABF">
        <w:rPr>
          <w:szCs w:val="24"/>
        </w:rPr>
        <w:t>containers were still overlying at MPT.</w:t>
      </w:r>
    </w:p>
    <w:p w:rsidR="005F701B" w:rsidRDefault="005F701B" w:rsidP="005F701B">
      <w:pPr>
        <w:tabs>
          <w:tab w:val="left" w:pos="914"/>
        </w:tabs>
        <w:spacing w:after="0" w:line="240" w:lineRule="auto"/>
        <w:jc w:val="both"/>
        <w:rPr>
          <w:i/>
          <w:color w:val="FF0000"/>
        </w:rPr>
      </w:pPr>
    </w:p>
    <w:p w:rsidR="005F701B" w:rsidRPr="00573851" w:rsidRDefault="00DE09C2" w:rsidP="005F701B">
      <w:pPr>
        <w:spacing w:after="0" w:line="240" w:lineRule="auto"/>
        <w:jc w:val="both"/>
        <w:rPr>
          <w:b/>
          <w:i/>
          <w:szCs w:val="24"/>
        </w:rPr>
      </w:pPr>
      <w:r>
        <w:rPr>
          <w:b/>
          <w:i/>
          <w:szCs w:val="24"/>
        </w:rPr>
        <w:t>6.8</w:t>
      </w:r>
      <w:r w:rsidR="009F0858">
        <w:rPr>
          <w:b/>
          <w:i/>
          <w:szCs w:val="24"/>
        </w:rPr>
        <w:t>.1</w:t>
      </w:r>
      <w:r w:rsidR="009F0858">
        <w:rPr>
          <w:b/>
          <w:i/>
          <w:szCs w:val="24"/>
        </w:rPr>
        <w:tab/>
        <w:t xml:space="preserve">Motorcycles &amp; </w:t>
      </w:r>
      <w:proofErr w:type="spellStart"/>
      <w:r w:rsidR="009F0858">
        <w:rPr>
          <w:b/>
          <w:i/>
          <w:szCs w:val="24"/>
        </w:rPr>
        <w:t>Autoc</w:t>
      </w:r>
      <w:r w:rsidR="005F701B" w:rsidRPr="00573851">
        <w:rPr>
          <w:b/>
          <w:i/>
          <w:szCs w:val="24"/>
        </w:rPr>
        <w:t>ycle</w:t>
      </w:r>
      <w:proofErr w:type="spellEnd"/>
      <w:r w:rsidR="005F701B" w:rsidRPr="00573851">
        <w:rPr>
          <w:b/>
          <w:i/>
          <w:szCs w:val="24"/>
        </w:rPr>
        <w:t xml:space="preserve"> Spare parts</w:t>
      </w:r>
    </w:p>
    <w:p w:rsidR="005F701B" w:rsidRPr="00781B37" w:rsidRDefault="005F701B" w:rsidP="005F701B">
      <w:pPr>
        <w:spacing w:after="0" w:line="240" w:lineRule="auto"/>
        <w:jc w:val="both"/>
        <w:rPr>
          <w:szCs w:val="24"/>
        </w:rPr>
      </w:pPr>
    </w:p>
    <w:p w:rsidR="005F701B" w:rsidRPr="00E830B5" w:rsidRDefault="005F701B" w:rsidP="005F701B">
      <w:pPr>
        <w:spacing w:after="0" w:line="240" w:lineRule="auto"/>
        <w:jc w:val="both"/>
        <w:rPr>
          <w:szCs w:val="24"/>
        </w:rPr>
      </w:pPr>
      <w:r>
        <w:rPr>
          <w:szCs w:val="24"/>
        </w:rPr>
        <w:t>74</w:t>
      </w:r>
      <w:r w:rsidRPr="007F7F49">
        <w:rPr>
          <w:szCs w:val="24"/>
        </w:rPr>
        <w:t xml:space="preserve"> motorcycles of make “</w:t>
      </w:r>
      <w:proofErr w:type="spellStart"/>
      <w:r w:rsidRPr="007F7F49">
        <w:rPr>
          <w:i/>
          <w:szCs w:val="24"/>
        </w:rPr>
        <w:t>Zaki</w:t>
      </w:r>
      <w:proofErr w:type="spellEnd"/>
      <w:r w:rsidR="009F0858">
        <w:rPr>
          <w:szCs w:val="24"/>
        </w:rPr>
        <w:t xml:space="preserve">” and several cartons of </w:t>
      </w:r>
      <w:proofErr w:type="spellStart"/>
      <w:r w:rsidR="009F0858">
        <w:rPr>
          <w:szCs w:val="24"/>
        </w:rPr>
        <w:t>auto</w:t>
      </w:r>
      <w:r w:rsidRPr="007F7F49">
        <w:rPr>
          <w:szCs w:val="24"/>
        </w:rPr>
        <w:t>cycle</w:t>
      </w:r>
      <w:proofErr w:type="spellEnd"/>
      <w:r w:rsidRPr="007F7F49">
        <w:rPr>
          <w:szCs w:val="24"/>
        </w:rPr>
        <w:t xml:space="preserve"> spare parts were </w:t>
      </w:r>
      <w:r>
        <w:rPr>
          <w:szCs w:val="24"/>
        </w:rPr>
        <w:t>imported in October 2003. 42</w:t>
      </w:r>
      <w:r w:rsidRPr="00781B37">
        <w:rPr>
          <w:szCs w:val="24"/>
        </w:rPr>
        <w:t xml:space="preserve"> </w:t>
      </w:r>
      <w:r>
        <w:rPr>
          <w:szCs w:val="24"/>
        </w:rPr>
        <w:t xml:space="preserve">of those </w:t>
      </w:r>
      <w:r w:rsidRPr="00781B37">
        <w:rPr>
          <w:szCs w:val="24"/>
        </w:rPr>
        <w:t>motorcycles were classified as “</w:t>
      </w:r>
      <w:r w:rsidRPr="00F66C60">
        <w:rPr>
          <w:i/>
          <w:szCs w:val="24"/>
        </w:rPr>
        <w:t>Wanderer</w:t>
      </w:r>
      <w:r w:rsidRPr="00781B37">
        <w:rPr>
          <w:szCs w:val="24"/>
        </w:rPr>
        <w:t xml:space="preserve">” and </w:t>
      </w:r>
      <w:r>
        <w:rPr>
          <w:szCs w:val="24"/>
        </w:rPr>
        <w:t xml:space="preserve">the remaining </w:t>
      </w:r>
      <w:r w:rsidRPr="00781B37">
        <w:rPr>
          <w:szCs w:val="24"/>
        </w:rPr>
        <w:t xml:space="preserve">32 as </w:t>
      </w:r>
      <w:r>
        <w:rPr>
          <w:szCs w:val="24"/>
        </w:rPr>
        <w:t>“</w:t>
      </w:r>
      <w:r w:rsidRPr="00F66C60">
        <w:rPr>
          <w:i/>
          <w:szCs w:val="24"/>
        </w:rPr>
        <w:t>Safari</w:t>
      </w:r>
      <w:r>
        <w:rPr>
          <w:i/>
          <w:szCs w:val="24"/>
        </w:rPr>
        <w:t>”</w:t>
      </w:r>
      <w:r>
        <w:rPr>
          <w:szCs w:val="24"/>
        </w:rPr>
        <w:t xml:space="preserve">. They </w:t>
      </w:r>
      <w:r w:rsidRPr="00781B37">
        <w:rPr>
          <w:szCs w:val="24"/>
        </w:rPr>
        <w:t xml:space="preserve">were declared as </w:t>
      </w:r>
      <w:r>
        <w:rPr>
          <w:szCs w:val="24"/>
        </w:rPr>
        <w:t xml:space="preserve">having an engine capacity of </w:t>
      </w:r>
      <w:r w:rsidRPr="00781B37">
        <w:rPr>
          <w:szCs w:val="24"/>
        </w:rPr>
        <w:t>49.8 c</w:t>
      </w:r>
      <w:r>
        <w:rPr>
          <w:szCs w:val="24"/>
        </w:rPr>
        <w:t>.</w:t>
      </w:r>
      <w:r w:rsidRPr="00781B37">
        <w:rPr>
          <w:szCs w:val="24"/>
        </w:rPr>
        <w:t>c.</w:t>
      </w:r>
      <w:r>
        <w:rPr>
          <w:szCs w:val="24"/>
        </w:rPr>
        <w:t xml:space="preserve"> </w:t>
      </w:r>
      <w:r w:rsidRPr="00781B37">
        <w:rPr>
          <w:szCs w:val="24"/>
        </w:rPr>
        <w:t>Upon examin</w:t>
      </w:r>
      <w:r>
        <w:rPr>
          <w:szCs w:val="24"/>
        </w:rPr>
        <w:t>ation</w:t>
      </w:r>
      <w:r w:rsidRPr="00781B37">
        <w:rPr>
          <w:szCs w:val="24"/>
        </w:rPr>
        <w:t xml:space="preserve"> </w:t>
      </w:r>
      <w:r>
        <w:rPr>
          <w:szCs w:val="24"/>
        </w:rPr>
        <w:t xml:space="preserve">of two motorcycles </w:t>
      </w:r>
      <w:r w:rsidRPr="00781B37">
        <w:rPr>
          <w:szCs w:val="24"/>
        </w:rPr>
        <w:t xml:space="preserve">by the Mechanical Engineer of the Ministry of Public Infrastructure </w:t>
      </w:r>
      <w:r>
        <w:rPr>
          <w:szCs w:val="24"/>
        </w:rPr>
        <w:t xml:space="preserve">and Land Transport </w:t>
      </w:r>
      <w:r w:rsidRPr="00781B37">
        <w:rPr>
          <w:szCs w:val="24"/>
        </w:rPr>
        <w:t xml:space="preserve">(MPI), the engine capacity of </w:t>
      </w:r>
      <w:r>
        <w:rPr>
          <w:szCs w:val="24"/>
        </w:rPr>
        <w:t>“</w:t>
      </w:r>
      <w:r w:rsidRPr="00F66C60">
        <w:rPr>
          <w:i/>
          <w:szCs w:val="24"/>
        </w:rPr>
        <w:t>Wanderer</w:t>
      </w:r>
      <w:r>
        <w:rPr>
          <w:szCs w:val="24"/>
        </w:rPr>
        <w:t>”</w:t>
      </w:r>
      <w:r w:rsidRPr="00781B37">
        <w:rPr>
          <w:szCs w:val="24"/>
        </w:rPr>
        <w:t xml:space="preserve"> was found to be 100 c</w:t>
      </w:r>
      <w:r>
        <w:rPr>
          <w:szCs w:val="24"/>
        </w:rPr>
        <w:t>.</w:t>
      </w:r>
      <w:r w:rsidRPr="00781B37">
        <w:rPr>
          <w:szCs w:val="24"/>
        </w:rPr>
        <w:t>c</w:t>
      </w:r>
      <w:r>
        <w:rPr>
          <w:szCs w:val="24"/>
        </w:rPr>
        <w:t>.</w:t>
      </w:r>
      <w:r w:rsidRPr="00781B37">
        <w:rPr>
          <w:szCs w:val="24"/>
        </w:rPr>
        <w:t xml:space="preserve"> and that of </w:t>
      </w:r>
      <w:r>
        <w:rPr>
          <w:szCs w:val="24"/>
        </w:rPr>
        <w:t>“</w:t>
      </w:r>
      <w:r w:rsidRPr="00F66C60">
        <w:rPr>
          <w:i/>
          <w:szCs w:val="24"/>
        </w:rPr>
        <w:t>Safari</w:t>
      </w:r>
      <w:r>
        <w:rPr>
          <w:szCs w:val="24"/>
        </w:rPr>
        <w:t>”</w:t>
      </w:r>
      <w:r w:rsidRPr="00781B37">
        <w:rPr>
          <w:szCs w:val="24"/>
        </w:rPr>
        <w:t xml:space="preserve"> </w:t>
      </w:r>
      <w:r>
        <w:rPr>
          <w:szCs w:val="24"/>
        </w:rPr>
        <w:t xml:space="preserve">as </w:t>
      </w:r>
      <w:r w:rsidRPr="00781B37">
        <w:rPr>
          <w:szCs w:val="24"/>
        </w:rPr>
        <w:t xml:space="preserve">125 </w:t>
      </w:r>
      <w:r w:rsidR="009F0858">
        <w:rPr>
          <w:szCs w:val="24"/>
        </w:rPr>
        <w:t>c.c. A COR</w:t>
      </w:r>
      <w:r>
        <w:rPr>
          <w:szCs w:val="24"/>
        </w:rPr>
        <w:t xml:space="preserve"> was</w:t>
      </w:r>
      <w:r w:rsidRPr="00781B37">
        <w:rPr>
          <w:szCs w:val="24"/>
        </w:rPr>
        <w:t xml:space="preserve"> raised on 8 October 2003 and the case was referred to </w:t>
      </w:r>
      <w:r>
        <w:rPr>
          <w:szCs w:val="24"/>
        </w:rPr>
        <w:t xml:space="preserve">the </w:t>
      </w:r>
      <w:r w:rsidRPr="00781B37">
        <w:rPr>
          <w:szCs w:val="24"/>
        </w:rPr>
        <w:t xml:space="preserve">Police Department for prosecution. </w:t>
      </w:r>
      <w:r>
        <w:rPr>
          <w:szCs w:val="24"/>
        </w:rPr>
        <w:t>O</w:t>
      </w:r>
      <w:r w:rsidRPr="00E830B5">
        <w:rPr>
          <w:szCs w:val="24"/>
        </w:rPr>
        <w:t>n 17 February 2012</w:t>
      </w:r>
      <w:r>
        <w:rPr>
          <w:szCs w:val="24"/>
        </w:rPr>
        <w:t xml:space="preserve">, the Court ordered that the two </w:t>
      </w:r>
      <w:r w:rsidRPr="00E830B5">
        <w:rPr>
          <w:szCs w:val="24"/>
        </w:rPr>
        <w:t xml:space="preserve">motorcycles </w:t>
      </w:r>
      <w:r>
        <w:rPr>
          <w:szCs w:val="24"/>
        </w:rPr>
        <w:t>which had been examined</w:t>
      </w:r>
      <w:r w:rsidR="00951F36">
        <w:rPr>
          <w:szCs w:val="24"/>
        </w:rPr>
        <w:t>,</w:t>
      </w:r>
      <w:r>
        <w:rPr>
          <w:szCs w:val="24"/>
        </w:rPr>
        <w:t xml:space="preserve"> be forfeited and destroyed</w:t>
      </w:r>
      <w:r w:rsidRPr="00E830B5">
        <w:rPr>
          <w:szCs w:val="24"/>
        </w:rPr>
        <w:t xml:space="preserve">. </w:t>
      </w:r>
    </w:p>
    <w:p w:rsidR="005F701B" w:rsidRPr="00781B37" w:rsidRDefault="005F701B" w:rsidP="005F701B">
      <w:pPr>
        <w:spacing w:after="0" w:line="240" w:lineRule="auto"/>
        <w:jc w:val="both"/>
        <w:rPr>
          <w:szCs w:val="24"/>
        </w:rPr>
      </w:pPr>
    </w:p>
    <w:p w:rsidR="005F701B" w:rsidRPr="00F66C60" w:rsidRDefault="005F701B" w:rsidP="005F701B">
      <w:pPr>
        <w:spacing w:after="0" w:line="240" w:lineRule="auto"/>
        <w:contextualSpacing/>
        <w:jc w:val="both"/>
        <w:rPr>
          <w:rFonts w:eastAsia="Times New Roman"/>
          <w:szCs w:val="24"/>
        </w:rPr>
      </w:pPr>
      <w:r w:rsidRPr="00F66C60">
        <w:rPr>
          <w:rFonts w:eastAsia="Times New Roman"/>
          <w:szCs w:val="24"/>
        </w:rPr>
        <w:t xml:space="preserve">Despite </w:t>
      </w:r>
      <w:r>
        <w:rPr>
          <w:rFonts w:eastAsia="Times New Roman"/>
          <w:szCs w:val="24"/>
        </w:rPr>
        <w:t>the fact that j</w:t>
      </w:r>
      <w:r w:rsidRPr="00F66C60">
        <w:rPr>
          <w:rFonts w:eastAsia="Times New Roman"/>
          <w:szCs w:val="24"/>
        </w:rPr>
        <w:t xml:space="preserve">udgment </w:t>
      </w:r>
      <w:r>
        <w:rPr>
          <w:rFonts w:eastAsia="Times New Roman"/>
          <w:szCs w:val="24"/>
        </w:rPr>
        <w:t>w</w:t>
      </w:r>
      <w:r w:rsidRPr="00F66C60">
        <w:rPr>
          <w:rFonts w:eastAsia="Times New Roman"/>
          <w:szCs w:val="24"/>
        </w:rPr>
        <w:t xml:space="preserve">as already delivered since five years, no appropriate </w:t>
      </w:r>
      <w:r>
        <w:rPr>
          <w:rFonts w:eastAsia="Times New Roman"/>
          <w:szCs w:val="24"/>
        </w:rPr>
        <w:t>action</w:t>
      </w:r>
      <w:r w:rsidRPr="00F66C60">
        <w:rPr>
          <w:rFonts w:eastAsia="Times New Roman"/>
          <w:szCs w:val="24"/>
        </w:rPr>
        <w:t xml:space="preserve"> </w:t>
      </w:r>
      <w:r>
        <w:rPr>
          <w:rFonts w:eastAsia="Times New Roman"/>
          <w:szCs w:val="24"/>
        </w:rPr>
        <w:t>w</w:t>
      </w:r>
      <w:r w:rsidRPr="00F66C60">
        <w:rPr>
          <w:rFonts w:eastAsia="Times New Roman"/>
          <w:szCs w:val="24"/>
        </w:rPr>
        <w:t>as taken</w:t>
      </w:r>
      <w:r>
        <w:rPr>
          <w:rFonts w:eastAsia="Times New Roman"/>
          <w:szCs w:val="24"/>
        </w:rPr>
        <w:t xml:space="preserve"> for</w:t>
      </w:r>
      <w:r w:rsidRPr="00F66C60">
        <w:rPr>
          <w:rFonts w:eastAsia="Times New Roman"/>
          <w:szCs w:val="24"/>
        </w:rPr>
        <w:t xml:space="preserve"> the remaining 72 </w:t>
      </w:r>
      <w:r w:rsidRPr="00AB5121">
        <w:rPr>
          <w:rFonts w:eastAsia="Times New Roman"/>
          <w:szCs w:val="24"/>
        </w:rPr>
        <w:t>motorcycles</w:t>
      </w:r>
      <w:r>
        <w:rPr>
          <w:rFonts w:eastAsia="Times New Roman"/>
          <w:szCs w:val="24"/>
        </w:rPr>
        <w:t>. Moreover,</w:t>
      </w:r>
      <w:r w:rsidRPr="00AB5121">
        <w:rPr>
          <w:rFonts w:eastAsia="Times New Roman"/>
          <w:szCs w:val="24"/>
        </w:rPr>
        <w:t xml:space="preserve"> </w:t>
      </w:r>
      <w:r>
        <w:rPr>
          <w:rFonts w:eastAsia="Times New Roman"/>
          <w:szCs w:val="24"/>
        </w:rPr>
        <w:t xml:space="preserve">no decision has been taken regarding </w:t>
      </w:r>
      <w:r w:rsidR="009F0858">
        <w:rPr>
          <w:rFonts w:eastAsia="Times New Roman"/>
          <w:szCs w:val="24"/>
        </w:rPr>
        <w:t xml:space="preserve">the </w:t>
      </w:r>
      <w:proofErr w:type="spellStart"/>
      <w:r w:rsidR="009F0858">
        <w:rPr>
          <w:rFonts w:eastAsia="Times New Roman"/>
          <w:szCs w:val="24"/>
        </w:rPr>
        <w:t>auto</w:t>
      </w:r>
      <w:r>
        <w:rPr>
          <w:rFonts w:eastAsia="Times New Roman"/>
          <w:szCs w:val="24"/>
        </w:rPr>
        <w:t>cycle</w:t>
      </w:r>
      <w:proofErr w:type="spellEnd"/>
      <w:r>
        <w:rPr>
          <w:rFonts w:eastAsia="Times New Roman"/>
          <w:szCs w:val="24"/>
        </w:rPr>
        <w:t xml:space="preserve"> spare parts which had been overlying </w:t>
      </w:r>
      <w:r w:rsidRPr="00AB5121">
        <w:rPr>
          <w:rFonts w:eastAsia="Times New Roman"/>
          <w:szCs w:val="24"/>
        </w:rPr>
        <w:t>since 1</w:t>
      </w:r>
      <w:r>
        <w:rPr>
          <w:rFonts w:eastAsia="Times New Roman"/>
          <w:szCs w:val="24"/>
        </w:rPr>
        <w:t>4</w:t>
      </w:r>
      <w:r w:rsidRPr="00AB5121">
        <w:rPr>
          <w:rFonts w:eastAsia="Times New Roman"/>
          <w:szCs w:val="24"/>
        </w:rPr>
        <w:t xml:space="preserve"> years</w:t>
      </w:r>
      <w:r w:rsidRPr="00F66C60">
        <w:rPr>
          <w:rFonts w:eastAsia="Times New Roman"/>
          <w:szCs w:val="24"/>
        </w:rPr>
        <w:t>. Further delay</w:t>
      </w:r>
      <w:r>
        <w:rPr>
          <w:rFonts w:eastAsia="Times New Roman"/>
          <w:szCs w:val="24"/>
        </w:rPr>
        <w:t xml:space="preserve"> in taking appropriate action</w:t>
      </w:r>
      <w:r w:rsidRPr="00F66C60">
        <w:rPr>
          <w:rFonts w:eastAsia="Times New Roman"/>
          <w:szCs w:val="24"/>
        </w:rPr>
        <w:t xml:space="preserve"> would impact negatively on the market value of these </w:t>
      </w:r>
      <w:r>
        <w:rPr>
          <w:rFonts w:eastAsia="Times New Roman"/>
          <w:szCs w:val="24"/>
        </w:rPr>
        <w:t>products,</w:t>
      </w:r>
      <w:r w:rsidRPr="00F66C60">
        <w:rPr>
          <w:rFonts w:eastAsia="Times New Roman"/>
          <w:szCs w:val="24"/>
        </w:rPr>
        <w:t xml:space="preserve"> and hence, </w:t>
      </w:r>
      <w:r>
        <w:rPr>
          <w:rFonts w:eastAsia="Times New Roman"/>
          <w:szCs w:val="24"/>
        </w:rPr>
        <w:t xml:space="preserve">might </w:t>
      </w:r>
      <w:r w:rsidRPr="00F66C60">
        <w:rPr>
          <w:rFonts w:eastAsia="Times New Roman"/>
          <w:szCs w:val="24"/>
        </w:rPr>
        <w:t>result in significant loss of revenue</w:t>
      </w:r>
      <w:r>
        <w:rPr>
          <w:rFonts w:eastAsia="Times New Roman"/>
          <w:szCs w:val="24"/>
        </w:rPr>
        <w:t>.</w:t>
      </w:r>
    </w:p>
    <w:p w:rsidR="005F701B" w:rsidRDefault="005F701B" w:rsidP="005F701B">
      <w:pPr>
        <w:tabs>
          <w:tab w:val="left" w:pos="914"/>
        </w:tabs>
        <w:spacing w:after="0" w:line="240" w:lineRule="auto"/>
        <w:jc w:val="both"/>
        <w:rPr>
          <w:b/>
          <w:i/>
          <w:szCs w:val="24"/>
        </w:rPr>
      </w:pPr>
    </w:p>
    <w:p w:rsidR="005F701B" w:rsidRPr="00573851" w:rsidRDefault="00DE09C2" w:rsidP="005F701B">
      <w:pPr>
        <w:spacing w:after="0" w:line="240" w:lineRule="auto"/>
        <w:jc w:val="both"/>
        <w:rPr>
          <w:b/>
          <w:i/>
          <w:szCs w:val="24"/>
        </w:rPr>
      </w:pPr>
      <w:r>
        <w:rPr>
          <w:b/>
          <w:i/>
          <w:szCs w:val="24"/>
        </w:rPr>
        <w:t>6.8</w:t>
      </w:r>
      <w:r w:rsidR="005F701B" w:rsidRPr="00573851">
        <w:rPr>
          <w:b/>
          <w:i/>
          <w:szCs w:val="24"/>
        </w:rPr>
        <w:t>.2</w:t>
      </w:r>
      <w:r w:rsidR="005F701B" w:rsidRPr="00573851">
        <w:rPr>
          <w:b/>
          <w:i/>
          <w:szCs w:val="24"/>
        </w:rPr>
        <w:tab/>
        <w:t>Highland</w:t>
      </w:r>
      <w:r w:rsidR="00573608">
        <w:rPr>
          <w:b/>
          <w:i/>
          <w:szCs w:val="24"/>
        </w:rPr>
        <w:t xml:space="preserve"> Chief</w:t>
      </w:r>
      <w:r w:rsidR="005F701B" w:rsidRPr="00573851">
        <w:rPr>
          <w:b/>
          <w:i/>
          <w:szCs w:val="24"/>
        </w:rPr>
        <w:t xml:space="preserve"> Scotch </w:t>
      </w:r>
      <w:proofErr w:type="gramStart"/>
      <w:r w:rsidR="005F701B" w:rsidRPr="00573851">
        <w:rPr>
          <w:b/>
          <w:i/>
          <w:szCs w:val="24"/>
        </w:rPr>
        <w:t>Whisky</w:t>
      </w:r>
      <w:proofErr w:type="gramEnd"/>
    </w:p>
    <w:p w:rsidR="005F701B" w:rsidRPr="00781B37" w:rsidRDefault="005F701B" w:rsidP="005F701B">
      <w:pPr>
        <w:spacing w:after="0" w:line="240" w:lineRule="auto"/>
        <w:jc w:val="both"/>
        <w:rPr>
          <w:szCs w:val="24"/>
        </w:rPr>
      </w:pPr>
    </w:p>
    <w:p w:rsidR="005F701B" w:rsidRPr="00781B37" w:rsidRDefault="005F701B" w:rsidP="005F701B">
      <w:pPr>
        <w:spacing w:after="0" w:line="240" w:lineRule="auto"/>
        <w:jc w:val="both"/>
        <w:rPr>
          <w:szCs w:val="24"/>
        </w:rPr>
      </w:pPr>
      <w:r w:rsidRPr="00781B37">
        <w:rPr>
          <w:szCs w:val="24"/>
        </w:rPr>
        <w:t xml:space="preserve">16,836 bottles of Highland </w:t>
      </w:r>
      <w:r w:rsidR="00573608">
        <w:rPr>
          <w:szCs w:val="24"/>
        </w:rPr>
        <w:t xml:space="preserve">Chief </w:t>
      </w:r>
      <w:r w:rsidRPr="00781B37">
        <w:rPr>
          <w:szCs w:val="24"/>
        </w:rPr>
        <w:t xml:space="preserve">Scotch </w:t>
      </w:r>
      <w:r>
        <w:rPr>
          <w:szCs w:val="24"/>
        </w:rPr>
        <w:t>W</w:t>
      </w:r>
      <w:r w:rsidRPr="00781B37">
        <w:rPr>
          <w:szCs w:val="24"/>
        </w:rPr>
        <w:t>hisky</w:t>
      </w:r>
      <w:r>
        <w:rPr>
          <w:szCs w:val="24"/>
        </w:rPr>
        <w:t>,</w:t>
      </w:r>
      <w:r w:rsidRPr="00781B37">
        <w:rPr>
          <w:szCs w:val="24"/>
        </w:rPr>
        <w:t xml:space="preserve"> imported</w:t>
      </w:r>
      <w:r w:rsidRPr="008D6308">
        <w:rPr>
          <w:szCs w:val="24"/>
        </w:rPr>
        <w:t xml:space="preserve"> </w:t>
      </w:r>
      <w:r>
        <w:rPr>
          <w:szCs w:val="24"/>
        </w:rPr>
        <w:t>o</w:t>
      </w:r>
      <w:r w:rsidRPr="00781B37">
        <w:rPr>
          <w:szCs w:val="24"/>
        </w:rPr>
        <w:t>n 8 March 2000</w:t>
      </w:r>
      <w:r>
        <w:rPr>
          <w:szCs w:val="24"/>
        </w:rPr>
        <w:t xml:space="preserve">, were detained </w:t>
      </w:r>
      <w:r w:rsidRPr="00781B37">
        <w:rPr>
          <w:szCs w:val="24"/>
        </w:rPr>
        <w:t>by Customs Investigation Unit</w:t>
      </w:r>
      <w:r>
        <w:rPr>
          <w:szCs w:val="24"/>
        </w:rPr>
        <w:t xml:space="preserve"> at </w:t>
      </w:r>
      <w:r w:rsidR="00984105">
        <w:rPr>
          <w:szCs w:val="24"/>
        </w:rPr>
        <w:t>CHCL</w:t>
      </w:r>
      <w:r>
        <w:rPr>
          <w:szCs w:val="24"/>
        </w:rPr>
        <w:t>. I</w:t>
      </w:r>
      <w:r w:rsidRPr="00781B37">
        <w:rPr>
          <w:szCs w:val="24"/>
        </w:rPr>
        <w:t xml:space="preserve">n November 2001, the case was referred to </w:t>
      </w:r>
      <w:r>
        <w:rPr>
          <w:szCs w:val="24"/>
        </w:rPr>
        <w:t xml:space="preserve">the </w:t>
      </w:r>
      <w:r w:rsidRPr="00781B37">
        <w:rPr>
          <w:szCs w:val="24"/>
        </w:rPr>
        <w:t xml:space="preserve">Police </w:t>
      </w:r>
      <w:r>
        <w:rPr>
          <w:szCs w:val="24"/>
        </w:rPr>
        <w:t xml:space="preserve">Department </w:t>
      </w:r>
      <w:r w:rsidRPr="00781B37">
        <w:rPr>
          <w:szCs w:val="24"/>
        </w:rPr>
        <w:t>for investigation and prosecution.</w:t>
      </w:r>
      <w:r>
        <w:rPr>
          <w:szCs w:val="24"/>
        </w:rPr>
        <w:t xml:space="preserve"> On 3 December 2004, the Office of the Director of Public Prosecution advised for no further action.</w:t>
      </w:r>
    </w:p>
    <w:p w:rsidR="005F701B" w:rsidRPr="00781B37" w:rsidRDefault="005F701B" w:rsidP="005F701B">
      <w:pPr>
        <w:spacing w:after="0" w:line="240" w:lineRule="auto"/>
        <w:jc w:val="both"/>
        <w:rPr>
          <w:szCs w:val="24"/>
        </w:rPr>
      </w:pPr>
    </w:p>
    <w:p w:rsidR="005F701B" w:rsidRPr="00781B37" w:rsidRDefault="005F701B" w:rsidP="00B628CB">
      <w:pPr>
        <w:numPr>
          <w:ilvl w:val="0"/>
          <w:numId w:val="11"/>
        </w:numPr>
        <w:spacing w:after="0" w:line="240" w:lineRule="auto"/>
        <w:ind w:left="360"/>
        <w:contextualSpacing/>
        <w:jc w:val="both"/>
        <w:rPr>
          <w:rFonts w:eastAsia="Times New Roman"/>
          <w:szCs w:val="24"/>
        </w:rPr>
      </w:pPr>
      <w:r w:rsidRPr="00781B37">
        <w:rPr>
          <w:rFonts w:eastAsia="Times New Roman"/>
          <w:szCs w:val="24"/>
        </w:rPr>
        <w:t xml:space="preserve">The container </w:t>
      </w:r>
      <w:r>
        <w:rPr>
          <w:rFonts w:eastAsia="Times New Roman"/>
          <w:szCs w:val="24"/>
        </w:rPr>
        <w:t xml:space="preserve">stuffed with the bottles of whisky, had </w:t>
      </w:r>
      <w:r w:rsidRPr="00781B37">
        <w:rPr>
          <w:rFonts w:eastAsia="Times New Roman"/>
          <w:szCs w:val="24"/>
        </w:rPr>
        <w:t xml:space="preserve">not </w:t>
      </w:r>
      <w:r>
        <w:rPr>
          <w:rFonts w:eastAsia="Times New Roman"/>
          <w:szCs w:val="24"/>
        </w:rPr>
        <w:t xml:space="preserve">been </w:t>
      </w:r>
      <w:r w:rsidRPr="00781B37">
        <w:rPr>
          <w:rFonts w:eastAsia="Times New Roman"/>
          <w:szCs w:val="24"/>
        </w:rPr>
        <w:t xml:space="preserve">transferred to </w:t>
      </w:r>
      <w:r>
        <w:rPr>
          <w:rFonts w:eastAsia="Times New Roman"/>
          <w:szCs w:val="24"/>
        </w:rPr>
        <w:t xml:space="preserve">Customs Warehouse as per </w:t>
      </w:r>
      <w:r w:rsidRPr="00902DC1">
        <w:rPr>
          <w:rFonts w:eastAsia="Times New Roman"/>
          <w:szCs w:val="24"/>
        </w:rPr>
        <w:t>the Customs Act</w:t>
      </w:r>
      <w:r>
        <w:rPr>
          <w:rFonts w:eastAsia="Times New Roman"/>
          <w:szCs w:val="24"/>
        </w:rPr>
        <w:t xml:space="preserve"> but remained at CHCL. However, a</w:t>
      </w:r>
      <w:r w:rsidRPr="00781B37">
        <w:rPr>
          <w:rFonts w:eastAsia="Times New Roman"/>
          <w:szCs w:val="24"/>
        </w:rPr>
        <w:t xml:space="preserve">s per </w:t>
      </w:r>
      <w:r>
        <w:rPr>
          <w:rFonts w:eastAsia="Times New Roman"/>
          <w:szCs w:val="24"/>
        </w:rPr>
        <w:t>Police survey carried out</w:t>
      </w:r>
      <w:r w:rsidRPr="00781B37">
        <w:rPr>
          <w:rFonts w:eastAsia="Times New Roman"/>
          <w:szCs w:val="24"/>
        </w:rPr>
        <w:t xml:space="preserve"> on 8 December 2005, 11,406 bottles of whisky </w:t>
      </w:r>
      <w:r>
        <w:rPr>
          <w:rFonts w:eastAsia="Times New Roman"/>
          <w:szCs w:val="24"/>
        </w:rPr>
        <w:t>had been</w:t>
      </w:r>
      <w:r w:rsidRPr="00781B37">
        <w:rPr>
          <w:rFonts w:eastAsia="Times New Roman"/>
          <w:szCs w:val="24"/>
        </w:rPr>
        <w:t xml:space="preserve"> illegally removed from the container</w:t>
      </w:r>
      <w:r>
        <w:rPr>
          <w:rFonts w:eastAsia="Times New Roman"/>
          <w:szCs w:val="24"/>
        </w:rPr>
        <w:t>. D</w:t>
      </w:r>
      <w:r w:rsidRPr="00781B37">
        <w:rPr>
          <w:rFonts w:eastAsia="Times New Roman"/>
          <w:szCs w:val="24"/>
        </w:rPr>
        <w:t xml:space="preserve">uties and taxes foregone amounted to </w:t>
      </w:r>
      <w:r>
        <w:rPr>
          <w:rFonts w:eastAsia="Times New Roman"/>
          <w:szCs w:val="24"/>
        </w:rPr>
        <w:t>Rs 1,965,578;</w:t>
      </w:r>
    </w:p>
    <w:p w:rsidR="005F701B" w:rsidRPr="00781B37" w:rsidRDefault="005F701B" w:rsidP="00794249">
      <w:pPr>
        <w:spacing w:after="0" w:line="240" w:lineRule="auto"/>
        <w:ind w:left="360" w:hanging="360"/>
        <w:contextualSpacing/>
        <w:jc w:val="both"/>
        <w:rPr>
          <w:rFonts w:eastAsia="Times New Roman"/>
          <w:szCs w:val="24"/>
        </w:rPr>
      </w:pPr>
    </w:p>
    <w:p w:rsidR="005F701B" w:rsidRDefault="005F701B" w:rsidP="00B628CB">
      <w:pPr>
        <w:numPr>
          <w:ilvl w:val="0"/>
          <w:numId w:val="11"/>
        </w:numPr>
        <w:spacing w:after="0" w:line="240" w:lineRule="auto"/>
        <w:ind w:left="360"/>
        <w:contextualSpacing/>
        <w:jc w:val="both"/>
        <w:rPr>
          <w:rFonts w:eastAsia="Times New Roman"/>
          <w:szCs w:val="24"/>
        </w:rPr>
      </w:pPr>
      <w:r w:rsidRPr="0030537C">
        <w:rPr>
          <w:rFonts w:eastAsia="Times New Roman"/>
          <w:szCs w:val="24"/>
        </w:rPr>
        <w:t xml:space="preserve">No decision has been taken </w:t>
      </w:r>
      <w:r>
        <w:rPr>
          <w:rFonts w:eastAsia="Times New Roman"/>
          <w:szCs w:val="24"/>
        </w:rPr>
        <w:t>for t</w:t>
      </w:r>
      <w:r w:rsidRPr="0030537C">
        <w:rPr>
          <w:rFonts w:eastAsia="Times New Roman"/>
          <w:szCs w:val="24"/>
        </w:rPr>
        <w:t xml:space="preserve">he remaining 5,430 bottles of whisky which </w:t>
      </w:r>
      <w:r>
        <w:rPr>
          <w:rFonts w:eastAsia="Times New Roman"/>
          <w:szCs w:val="24"/>
        </w:rPr>
        <w:t>were</w:t>
      </w:r>
      <w:r w:rsidRPr="0030537C">
        <w:rPr>
          <w:rFonts w:eastAsia="Times New Roman"/>
          <w:szCs w:val="24"/>
        </w:rPr>
        <w:t xml:space="preserve"> overlying for 13 years</w:t>
      </w:r>
      <w:r>
        <w:rPr>
          <w:rFonts w:eastAsia="Times New Roman"/>
          <w:szCs w:val="24"/>
        </w:rPr>
        <w:t xml:space="preserve"> and it was only in </w:t>
      </w:r>
      <w:r w:rsidRPr="008073AA">
        <w:rPr>
          <w:rFonts w:eastAsia="Times New Roman"/>
          <w:szCs w:val="24"/>
        </w:rPr>
        <w:t>July 2017</w:t>
      </w:r>
      <w:r>
        <w:rPr>
          <w:rFonts w:eastAsia="Times New Roman"/>
          <w:szCs w:val="24"/>
        </w:rPr>
        <w:t xml:space="preserve"> that</w:t>
      </w:r>
      <w:r w:rsidRPr="008073AA">
        <w:rPr>
          <w:rFonts w:eastAsia="Times New Roman"/>
          <w:szCs w:val="24"/>
        </w:rPr>
        <w:t xml:space="preserve"> a sample was taken by </w:t>
      </w:r>
      <w:r w:rsidRPr="0030537C">
        <w:rPr>
          <w:rFonts w:eastAsia="Times New Roman"/>
          <w:szCs w:val="24"/>
        </w:rPr>
        <w:t xml:space="preserve">a </w:t>
      </w:r>
      <w:r w:rsidR="009F0858">
        <w:rPr>
          <w:rFonts w:eastAsia="Times New Roman"/>
          <w:szCs w:val="24"/>
        </w:rPr>
        <w:t>d</w:t>
      </w:r>
      <w:r w:rsidRPr="004A1A14">
        <w:rPr>
          <w:rFonts w:eastAsia="Times New Roman"/>
          <w:szCs w:val="24"/>
        </w:rPr>
        <w:t>istiller</w:t>
      </w:r>
      <w:r w:rsidRPr="0030537C">
        <w:rPr>
          <w:rFonts w:eastAsia="Times New Roman"/>
          <w:szCs w:val="24"/>
        </w:rPr>
        <w:t xml:space="preserve"> for analysis</w:t>
      </w:r>
      <w:r>
        <w:rPr>
          <w:rFonts w:eastAsia="Times New Roman"/>
          <w:szCs w:val="24"/>
        </w:rPr>
        <w:t>. However, a</w:t>
      </w:r>
      <w:r w:rsidRPr="0030537C">
        <w:rPr>
          <w:rFonts w:eastAsia="Times New Roman"/>
          <w:szCs w:val="24"/>
        </w:rPr>
        <w:t>s per</w:t>
      </w:r>
      <w:r>
        <w:rPr>
          <w:rFonts w:eastAsia="Times New Roman"/>
          <w:szCs w:val="24"/>
        </w:rPr>
        <w:t xml:space="preserve"> the</w:t>
      </w:r>
      <w:r w:rsidRPr="0030537C">
        <w:rPr>
          <w:rFonts w:eastAsia="Times New Roman"/>
          <w:szCs w:val="24"/>
        </w:rPr>
        <w:t xml:space="preserve"> </w:t>
      </w:r>
      <w:r>
        <w:rPr>
          <w:rFonts w:eastAsia="Times New Roman"/>
          <w:szCs w:val="24"/>
        </w:rPr>
        <w:t xml:space="preserve">latter’s </w:t>
      </w:r>
      <w:r w:rsidRPr="0030537C">
        <w:rPr>
          <w:rFonts w:eastAsia="Times New Roman"/>
          <w:szCs w:val="24"/>
        </w:rPr>
        <w:t xml:space="preserve">reply, the product was not in accordance with standards. </w:t>
      </w:r>
    </w:p>
    <w:p w:rsidR="005F701B" w:rsidRDefault="005F701B" w:rsidP="005F701B">
      <w:pPr>
        <w:spacing w:after="0" w:line="240" w:lineRule="auto"/>
        <w:ind w:left="66"/>
        <w:contextualSpacing/>
        <w:jc w:val="both"/>
        <w:rPr>
          <w:rFonts w:eastAsia="Times New Roman"/>
          <w:szCs w:val="24"/>
        </w:rPr>
      </w:pPr>
    </w:p>
    <w:p w:rsidR="00A33577" w:rsidRDefault="00A33577">
      <w:pPr>
        <w:rPr>
          <w:b/>
          <w:i/>
          <w:szCs w:val="24"/>
        </w:rPr>
      </w:pPr>
      <w:r>
        <w:rPr>
          <w:b/>
          <w:i/>
          <w:szCs w:val="24"/>
        </w:rPr>
        <w:br w:type="page"/>
      </w:r>
    </w:p>
    <w:p w:rsidR="005F701B" w:rsidRPr="00781B37" w:rsidRDefault="005F701B" w:rsidP="005F701B">
      <w:pPr>
        <w:spacing w:after="0" w:line="240" w:lineRule="auto"/>
        <w:jc w:val="both"/>
        <w:rPr>
          <w:b/>
          <w:i/>
          <w:szCs w:val="24"/>
        </w:rPr>
      </w:pPr>
      <w:r>
        <w:rPr>
          <w:b/>
          <w:i/>
          <w:szCs w:val="24"/>
        </w:rPr>
        <w:lastRenderedPageBreak/>
        <w:t>Recommendation</w:t>
      </w:r>
    </w:p>
    <w:p w:rsidR="005F701B" w:rsidRPr="00781B37" w:rsidRDefault="005F701B" w:rsidP="005F701B">
      <w:pPr>
        <w:spacing w:after="0" w:line="240" w:lineRule="auto"/>
        <w:jc w:val="both"/>
        <w:rPr>
          <w:i/>
          <w:szCs w:val="24"/>
        </w:rPr>
      </w:pPr>
    </w:p>
    <w:p w:rsidR="005F701B" w:rsidRDefault="005F701B" w:rsidP="005F701B">
      <w:pPr>
        <w:spacing w:after="0" w:line="240" w:lineRule="auto"/>
        <w:contextualSpacing/>
        <w:jc w:val="both"/>
        <w:rPr>
          <w:rFonts w:eastAsia="Times New Roman"/>
          <w:szCs w:val="24"/>
        </w:rPr>
      </w:pPr>
      <w:r>
        <w:rPr>
          <w:rFonts w:eastAsia="Times New Roman"/>
          <w:szCs w:val="24"/>
        </w:rPr>
        <w:t>O</w:t>
      </w:r>
      <w:r w:rsidRPr="00781B37">
        <w:rPr>
          <w:rFonts w:eastAsia="Times New Roman"/>
          <w:szCs w:val="24"/>
        </w:rPr>
        <w:t>verlying containers should be transferred to Customs</w:t>
      </w:r>
      <w:r>
        <w:rPr>
          <w:rFonts w:eastAsia="Times New Roman"/>
          <w:szCs w:val="24"/>
        </w:rPr>
        <w:t xml:space="preserve"> Warehouse </w:t>
      </w:r>
      <w:r w:rsidRPr="00781B37">
        <w:rPr>
          <w:rFonts w:eastAsia="Times New Roman"/>
          <w:szCs w:val="24"/>
        </w:rPr>
        <w:t xml:space="preserve">as per the Customs Act. </w:t>
      </w:r>
      <w:r>
        <w:rPr>
          <w:rFonts w:eastAsia="Times New Roman"/>
          <w:szCs w:val="24"/>
        </w:rPr>
        <w:t xml:space="preserve">Detained containers should be securely kept under Customs control. </w:t>
      </w:r>
      <w:r w:rsidRPr="00781B37">
        <w:rPr>
          <w:rFonts w:eastAsia="Times New Roman"/>
          <w:szCs w:val="24"/>
        </w:rPr>
        <w:t xml:space="preserve">In the event of inadequacy of space, Customs should consider acquiring additional space for the extension of the Customs Warehouse. </w:t>
      </w:r>
    </w:p>
    <w:p w:rsidR="005F701B" w:rsidRDefault="005F701B" w:rsidP="005F701B">
      <w:pPr>
        <w:spacing w:after="0" w:line="240" w:lineRule="auto"/>
        <w:contextualSpacing/>
        <w:jc w:val="both"/>
        <w:rPr>
          <w:rFonts w:eastAsia="Times New Roman"/>
          <w:i/>
          <w:szCs w:val="24"/>
        </w:rPr>
      </w:pPr>
    </w:p>
    <w:p w:rsidR="005F701B" w:rsidRPr="00333E28" w:rsidRDefault="005F701B" w:rsidP="005F701B">
      <w:pPr>
        <w:tabs>
          <w:tab w:val="left" w:pos="914"/>
        </w:tabs>
        <w:spacing w:after="0" w:line="240" w:lineRule="auto"/>
        <w:jc w:val="both"/>
        <w:rPr>
          <w:b/>
          <w:i/>
          <w:szCs w:val="24"/>
        </w:rPr>
      </w:pPr>
      <w:r w:rsidRPr="00333E28">
        <w:rPr>
          <w:b/>
          <w:i/>
          <w:szCs w:val="24"/>
        </w:rPr>
        <w:t>Management’s Reply</w:t>
      </w:r>
    </w:p>
    <w:p w:rsidR="005F701B" w:rsidRPr="00A93879" w:rsidRDefault="005F701B" w:rsidP="005F701B">
      <w:pPr>
        <w:spacing w:after="0" w:line="240" w:lineRule="auto"/>
        <w:ind w:left="66"/>
        <w:contextualSpacing/>
        <w:jc w:val="both"/>
        <w:rPr>
          <w:rFonts w:eastAsia="Times New Roman"/>
          <w:szCs w:val="24"/>
        </w:rPr>
      </w:pPr>
    </w:p>
    <w:p w:rsidR="00573608" w:rsidRPr="00573608" w:rsidRDefault="00573608" w:rsidP="00573608">
      <w:pPr>
        <w:tabs>
          <w:tab w:val="left" w:pos="914"/>
        </w:tabs>
        <w:spacing w:after="0" w:line="240" w:lineRule="auto"/>
        <w:jc w:val="both"/>
        <w:rPr>
          <w:strike/>
          <w:szCs w:val="24"/>
          <w:lang w:val="en-GB"/>
        </w:rPr>
      </w:pPr>
      <w:r w:rsidRPr="00573608">
        <w:rPr>
          <w:szCs w:val="24"/>
          <w:lang w:val="en-GB"/>
        </w:rPr>
        <w:t>27 containers have already been removed from the list of 35 following appropriate actions taken (sent for auction, destroyed and removed by Police).</w:t>
      </w:r>
    </w:p>
    <w:p w:rsidR="00573608" w:rsidRPr="00573608" w:rsidRDefault="00573608" w:rsidP="00573608">
      <w:pPr>
        <w:spacing w:after="0" w:line="240" w:lineRule="auto"/>
        <w:contextualSpacing/>
        <w:jc w:val="both"/>
        <w:rPr>
          <w:rFonts w:eastAsia="Times New Roman"/>
          <w:szCs w:val="24"/>
          <w:lang w:val="en-GB"/>
        </w:rPr>
      </w:pPr>
    </w:p>
    <w:p w:rsidR="00573608" w:rsidRPr="00573608" w:rsidRDefault="00573608" w:rsidP="00573608">
      <w:pPr>
        <w:autoSpaceDE w:val="0"/>
        <w:autoSpaceDN w:val="0"/>
        <w:adjustRightInd w:val="0"/>
        <w:spacing w:after="0" w:line="240" w:lineRule="auto"/>
        <w:jc w:val="both"/>
        <w:rPr>
          <w:szCs w:val="24"/>
          <w:lang w:val="en-GB"/>
        </w:rPr>
      </w:pPr>
      <w:r w:rsidRPr="00573608">
        <w:rPr>
          <w:szCs w:val="24"/>
          <w:lang w:val="en-GB"/>
        </w:rPr>
        <w:t xml:space="preserve">With regard to the 72 remaining motorcycles and </w:t>
      </w:r>
      <w:proofErr w:type="spellStart"/>
      <w:r w:rsidRPr="00573608">
        <w:rPr>
          <w:szCs w:val="24"/>
          <w:lang w:val="en-GB"/>
        </w:rPr>
        <w:t>autocycle</w:t>
      </w:r>
      <w:proofErr w:type="spellEnd"/>
      <w:r w:rsidRPr="00573608">
        <w:rPr>
          <w:szCs w:val="24"/>
          <w:lang w:val="en-GB"/>
        </w:rPr>
        <w:t xml:space="preserve"> parts, same have been transferred for auction sales on 11 December 2017 and will be disposed of after obtaining legal advice from SLO. </w:t>
      </w:r>
    </w:p>
    <w:p w:rsidR="00573608" w:rsidRPr="00573608" w:rsidRDefault="00573608" w:rsidP="00573608">
      <w:pPr>
        <w:spacing w:after="0" w:line="240" w:lineRule="auto"/>
        <w:contextualSpacing/>
        <w:jc w:val="both"/>
        <w:rPr>
          <w:rFonts w:eastAsia="Times New Roman"/>
          <w:i/>
          <w:szCs w:val="24"/>
          <w:lang w:val="en-GB"/>
        </w:rPr>
      </w:pPr>
    </w:p>
    <w:p w:rsidR="00573608" w:rsidRPr="00573608" w:rsidRDefault="00573608" w:rsidP="00573608">
      <w:pPr>
        <w:autoSpaceDE w:val="0"/>
        <w:autoSpaceDN w:val="0"/>
        <w:adjustRightInd w:val="0"/>
        <w:spacing w:after="0" w:line="240" w:lineRule="auto"/>
        <w:jc w:val="both"/>
        <w:rPr>
          <w:szCs w:val="24"/>
          <w:lang w:val="en-GB"/>
        </w:rPr>
      </w:pPr>
      <w:r w:rsidRPr="00573608">
        <w:rPr>
          <w:szCs w:val="24"/>
          <w:lang w:val="en-GB"/>
        </w:rPr>
        <w:t xml:space="preserve">MRA Customs contacted many distillers for the possibility of recycling/disposal of the bottles of whisky. </w:t>
      </w:r>
    </w:p>
    <w:p w:rsidR="00573608" w:rsidRPr="00573608" w:rsidRDefault="00573608" w:rsidP="00573608">
      <w:pPr>
        <w:autoSpaceDE w:val="0"/>
        <w:autoSpaceDN w:val="0"/>
        <w:adjustRightInd w:val="0"/>
        <w:spacing w:after="0" w:line="240" w:lineRule="auto"/>
        <w:jc w:val="both"/>
        <w:rPr>
          <w:szCs w:val="24"/>
          <w:lang w:val="en-GB"/>
        </w:rPr>
      </w:pPr>
    </w:p>
    <w:p w:rsidR="00573608" w:rsidRPr="00573608" w:rsidRDefault="00573608" w:rsidP="00573608">
      <w:pPr>
        <w:autoSpaceDE w:val="0"/>
        <w:autoSpaceDN w:val="0"/>
        <w:adjustRightInd w:val="0"/>
        <w:spacing w:after="0" w:line="240" w:lineRule="auto"/>
        <w:jc w:val="both"/>
        <w:rPr>
          <w:szCs w:val="24"/>
          <w:lang w:val="en-GB"/>
        </w:rPr>
      </w:pPr>
      <w:r w:rsidRPr="00573608">
        <w:rPr>
          <w:szCs w:val="24"/>
          <w:lang w:val="en-GB"/>
        </w:rPr>
        <w:t xml:space="preserve">Based on established procedures, all detained goods under Customs control are now systematically transferred to the Customs Warehouse depending on availability of space. Additional space has been rented to extend the capacity of the Customs Warehouse. </w:t>
      </w:r>
    </w:p>
    <w:p w:rsidR="005F701B" w:rsidRDefault="005F701B" w:rsidP="005F701B">
      <w:pPr>
        <w:tabs>
          <w:tab w:val="left" w:pos="914"/>
        </w:tabs>
        <w:spacing w:after="0" w:line="240" w:lineRule="auto"/>
        <w:jc w:val="both"/>
        <w:rPr>
          <w:szCs w:val="24"/>
        </w:rPr>
      </w:pPr>
    </w:p>
    <w:p w:rsidR="00357368" w:rsidRPr="00DC1CF0" w:rsidRDefault="00357368" w:rsidP="00357368">
      <w:pPr>
        <w:autoSpaceDE w:val="0"/>
        <w:autoSpaceDN w:val="0"/>
        <w:adjustRightInd w:val="0"/>
        <w:spacing w:after="0" w:line="240" w:lineRule="auto"/>
        <w:jc w:val="both"/>
        <w:rPr>
          <w:b/>
          <w:szCs w:val="24"/>
        </w:rPr>
      </w:pPr>
    </w:p>
    <w:p w:rsidR="00357368" w:rsidRPr="00657AD3" w:rsidRDefault="00DE09C2" w:rsidP="00357368">
      <w:pPr>
        <w:pStyle w:val="ListParagraph"/>
        <w:autoSpaceDE w:val="0"/>
        <w:autoSpaceDN w:val="0"/>
        <w:adjustRightInd w:val="0"/>
        <w:spacing w:after="0" w:line="240" w:lineRule="auto"/>
        <w:ind w:left="0"/>
        <w:jc w:val="both"/>
        <w:rPr>
          <w:b/>
        </w:rPr>
      </w:pPr>
      <w:r>
        <w:rPr>
          <w:b/>
        </w:rPr>
        <w:t>6.9</w:t>
      </w:r>
      <w:r w:rsidR="00C36727">
        <w:rPr>
          <w:b/>
        </w:rPr>
        <w:tab/>
      </w:r>
      <w:r w:rsidR="00357368" w:rsidRPr="00657AD3">
        <w:rPr>
          <w:b/>
        </w:rPr>
        <w:t xml:space="preserve">Freeport </w:t>
      </w:r>
      <w:r w:rsidR="00357368">
        <w:rPr>
          <w:b/>
        </w:rPr>
        <w:t>Zones</w:t>
      </w:r>
    </w:p>
    <w:p w:rsidR="00357368" w:rsidRPr="001C2761" w:rsidRDefault="00357368" w:rsidP="00357368">
      <w:pPr>
        <w:autoSpaceDE w:val="0"/>
        <w:autoSpaceDN w:val="0"/>
        <w:adjustRightInd w:val="0"/>
        <w:spacing w:after="0" w:line="240" w:lineRule="auto"/>
        <w:rPr>
          <w:szCs w:val="24"/>
          <w:lang w:val="en-GB"/>
        </w:rPr>
      </w:pPr>
    </w:p>
    <w:p w:rsidR="00357368" w:rsidRPr="00275D91" w:rsidRDefault="00357368" w:rsidP="00357368">
      <w:pPr>
        <w:autoSpaceDE w:val="0"/>
        <w:autoSpaceDN w:val="0"/>
        <w:adjustRightInd w:val="0"/>
        <w:spacing w:after="0" w:line="240" w:lineRule="auto"/>
        <w:jc w:val="both"/>
        <w:rPr>
          <w:szCs w:val="24"/>
        </w:rPr>
      </w:pPr>
      <w:r>
        <w:rPr>
          <w:szCs w:val="24"/>
          <w:lang w:val="en-GB"/>
        </w:rPr>
        <w:t>T</w:t>
      </w:r>
      <w:r w:rsidRPr="00275D91">
        <w:rPr>
          <w:szCs w:val="24"/>
          <w:lang w:val="en-GB"/>
        </w:rPr>
        <w:t xml:space="preserve">he </w:t>
      </w:r>
      <w:r>
        <w:rPr>
          <w:szCs w:val="24"/>
          <w:lang w:val="en-GB"/>
        </w:rPr>
        <w:t xml:space="preserve">Customs </w:t>
      </w:r>
      <w:r w:rsidRPr="00275D91">
        <w:rPr>
          <w:szCs w:val="24"/>
          <w:lang w:val="en-GB"/>
        </w:rPr>
        <w:t>Freeport Section is responsible for the overall control of all Freeport goods</w:t>
      </w:r>
      <w:r>
        <w:rPr>
          <w:szCs w:val="24"/>
          <w:lang w:val="en-GB"/>
        </w:rPr>
        <w:t xml:space="preserve"> </w:t>
      </w:r>
      <w:r w:rsidRPr="00275D91">
        <w:rPr>
          <w:szCs w:val="24"/>
          <w:lang w:val="en-GB"/>
        </w:rPr>
        <w:t xml:space="preserve">entering and </w:t>
      </w:r>
      <w:r w:rsidR="00573608">
        <w:rPr>
          <w:szCs w:val="24"/>
          <w:lang w:val="en-GB"/>
        </w:rPr>
        <w:t>leaving the Freeport Zones</w:t>
      </w:r>
      <w:r w:rsidRPr="00275D91">
        <w:rPr>
          <w:szCs w:val="24"/>
          <w:lang w:val="en-GB"/>
        </w:rPr>
        <w:t xml:space="preserve">. </w:t>
      </w:r>
    </w:p>
    <w:p w:rsidR="00357368" w:rsidRPr="00657AD3" w:rsidRDefault="00357368" w:rsidP="00357368">
      <w:pPr>
        <w:autoSpaceDE w:val="0"/>
        <w:autoSpaceDN w:val="0"/>
        <w:adjustRightInd w:val="0"/>
        <w:spacing w:after="0" w:line="240" w:lineRule="auto"/>
        <w:jc w:val="both"/>
        <w:rPr>
          <w:szCs w:val="24"/>
        </w:rPr>
      </w:pPr>
    </w:p>
    <w:p w:rsidR="00357368" w:rsidRPr="00945C8B" w:rsidRDefault="00DE09C2" w:rsidP="00357368">
      <w:pPr>
        <w:autoSpaceDE w:val="0"/>
        <w:autoSpaceDN w:val="0"/>
        <w:adjustRightInd w:val="0"/>
        <w:spacing w:after="0" w:line="240" w:lineRule="auto"/>
        <w:jc w:val="both"/>
        <w:rPr>
          <w:b/>
          <w:i/>
          <w:szCs w:val="24"/>
        </w:rPr>
      </w:pPr>
      <w:r>
        <w:rPr>
          <w:b/>
          <w:i/>
          <w:szCs w:val="24"/>
        </w:rPr>
        <w:t>6.9</w:t>
      </w:r>
      <w:r w:rsidR="00357368" w:rsidRPr="00945C8B">
        <w:rPr>
          <w:b/>
          <w:i/>
          <w:szCs w:val="24"/>
        </w:rPr>
        <w:t>.1</w:t>
      </w:r>
      <w:r w:rsidR="00357368" w:rsidRPr="00945C8B">
        <w:rPr>
          <w:b/>
          <w:i/>
          <w:szCs w:val="24"/>
        </w:rPr>
        <w:tab/>
        <w:t>Scanning</w:t>
      </w:r>
    </w:p>
    <w:p w:rsidR="00357368" w:rsidRPr="00945C8B" w:rsidRDefault="00357368" w:rsidP="00357368">
      <w:pPr>
        <w:autoSpaceDE w:val="0"/>
        <w:autoSpaceDN w:val="0"/>
        <w:adjustRightInd w:val="0"/>
        <w:spacing w:after="0" w:line="240" w:lineRule="auto"/>
        <w:jc w:val="both"/>
        <w:rPr>
          <w:szCs w:val="24"/>
        </w:rPr>
      </w:pPr>
    </w:p>
    <w:p w:rsidR="00357368" w:rsidRDefault="00357368" w:rsidP="00357368">
      <w:pPr>
        <w:autoSpaceDE w:val="0"/>
        <w:autoSpaceDN w:val="0"/>
        <w:adjustRightInd w:val="0"/>
        <w:spacing w:after="0" w:line="240" w:lineRule="auto"/>
        <w:jc w:val="both"/>
        <w:rPr>
          <w:szCs w:val="24"/>
        </w:rPr>
      </w:pPr>
      <w:r w:rsidRPr="00945C8B">
        <w:rPr>
          <w:szCs w:val="24"/>
        </w:rPr>
        <w:t xml:space="preserve">Visits carried out by </w:t>
      </w:r>
      <w:r>
        <w:rPr>
          <w:szCs w:val="24"/>
        </w:rPr>
        <w:t>my Officers</w:t>
      </w:r>
      <w:r w:rsidRPr="00945C8B">
        <w:rPr>
          <w:szCs w:val="24"/>
        </w:rPr>
        <w:t xml:space="preserve"> in the Freeport Zones at the Seaport and Airport on </w:t>
      </w:r>
      <w:r w:rsidR="006D14DB">
        <w:rPr>
          <w:szCs w:val="24"/>
        </w:rPr>
        <w:br/>
      </w:r>
      <w:r w:rsidRPr="00945C8B">
        <w:rPr>
          <w:szCs w:val="24"/>
        </w:rPr>
        <w:t>2 August and 1 September 2017 respectively, revealed a lack of Customs control</w:t>
      </w:r>
      <w:r>
        <w:rPr>
          <w:szCs w:val="24"/>
        </w:rPr>
        <w:t>s</w:t>
      </w:r>
      <w:r w:rsidRPr="00945C8B">
        <w:rPr>
          <w:szCs w:val="24"/>
        </w:rPr>
        <w:t xml:space="preserve"> on goods imported by licensed Freeport Operators. </w:t>
      </w:r>
    </w:p>
    <w:p w:rsidR="00357368" w:rsidRDefault="00357368" w:rsidP="00357368">
      <w:pPr>
        <w:autoSpaceDE w:val="0"/>
        <w:autoSpaceDN w:val="0"/>
        <w:adjustRightInd w:val="0"/>
        <w:spacing w:after="0" w:line="240" w:lineRule="auto"/>
        <w:jc w:val="both"/>
        <w:rPr>
          <w:szCs w:val="24"/>
        </w:rPr>
      </w:pPr>
    </w:p>
    <w:p w:rsidR="00573608" w:rsidRPr="00573608" w:rsidRDefault="00573608" w:rsidP="00573608">
      <w:pPr>
        <w:autoSpaceDE w:val="0"/>
        <w:autoSpaceDN w:val="0"/>
        <w:adjustRightInd w:val="0"/>
        <w:spacing w:after="0" w:line="240" w:lineRule="auto"/>
        <w:jc w:val="both"/>
        <w:rPr>
          <w:rFonts w:eastAsia="Times New Roman"/>
          <w:strike/>
          <w:szCs w:val="24"/>
          <w:lang w:val="en-GB"/>
        </w:rPr>
      </w:pPr>
      <w:r w:rsidRPr="00573608">
        <w:rPr>
          <w:szCs w:val="24"/>
          <w:lang w:val="en-GB"/>
        </w:rPr>
        <w:t>Instead of reinforcing Customs control, t</w:t>
      </w:r>
      <w:r w:rsidRPr="00573608">
        <w:rPr>
          <w:rFonts w:eastAsia="Times New Roman"/>
          <w:szCs w:val="24"/>
          <w:lang w:val="en-GB"/>
        </w:rPr>
        <w:t>he revised Standard Operating Procedure (SOP) Manual, applicable as from May 2017, makes no provision for the scanning of imported containers prior to their release to Freeport Zones. For the year 2017, only 34 out of 2,379 imported containers (1.4 per cent) have been scanned.</w:t>
      </w:r>
      <w:r w:rsidRPr="00573608">
        <w:rPr>
          <w:rFonts w:eastAsia="Times New Roman"/>
          <w:color w:val="0070C0"/>
          <w:szCs w:val="24"/>
          <w:lang w:val="en-GB"/>
        </w:rPr>
        <w:t xml:space="preserve"> </w:t>
      </w:r>
      <w:r w:rsidRPr="00573608">
        <w:rPr>
          <w:rFonts w:eastAsia="Times New Roman"/>
          <w:szCs w:val="24"/>
          <w:lang w:val="en-GB"/>
        </w:rPr>
        <w:t>Hence,</w:t>
      </w:r>
      <w:r w:rsidRPr="00573608">
        <w:rPr>
          <w:szCs w:val="24"/>
          <w:lang w:val="en-GB"/>
        </w:rPr>
        <w:t xml:space="preserve"> there is a high risk that p</w:t>
      </w:r>
      <w:r w:rsidRPr="00573608">
        <w:rPr>
          <w:rFonts w:eastAsia="Times New Roman"/>
          <w:szCs w:val="24"/>
          <w:lang w:val="en-GB"/>
        </w:rPr>
        <w:t xml:space="preserve">rohibited goods might transit through the Freeport Zones without being detected. </w:t>
      </w:r>
    </w:p>
    <w:p w:rsidR="00DE09C2" w:rsidRDefault="00DE09C2" w:rsidP="00357368">
      <w:pPr>
        <w:spacing w:after="0" w:line="240" w:lineRule="auto"/>
        <w:jc w:val="both"/>
        <w:rPr>
          <w:b/>
          <w:i/>
          <w:szCs w:val="24"/>
        </w:rPr>
      </w:pPr>
    </w:p>
    <w:p w:rsidR="00357368" w:rsidRPr="00657AD3" w:rsidRDefault="00DE09C2" w:rsidP="00357368">
      <w:pPr>
        <w:spacing w:after="0" w:line="240" w:lineRule="auto"/>
        <w:jc w:val="both"/>
        <w:rPr>
          <w:b/>
          <w:i/>
          <w:szCs w:val="24"/>
        </w:rPr>
      </w:pPr>
      <w:r>
        <w:rPr>
          <w:b/>
          <w:i/>
          <w:szCs w:val="24"/>
        </w:rPr>
        <w:t>6.9</w:t>
      </w:r>
      <w:r w:rsidR="00357368" w:rsidRPr="00657AD3">
        <w:rPr>
          <w:b/>
          <w:i/>
          <w:szCs w:val="24"/>
        </w:rPr>
        <w:t>.</w:t>
      </w:r>
      <w:r w:rsidR="00357368">
        <w:rPr>
          <w:b/>
          <w:i/>
          <w:szCs w:val="24"/>
        </w:rPr>
        <w:t>2</w:t>
      </w:r>
      <w:r w:rsidR="00573608">
        <w:rPr>
          <w:b/>
          <w:i/>
          <w:szCs w:val="24"/>
        </w:rPr>
        <w:tab/>
        <w:t>Medical</w:t>
      </w:r>
      <w:r w:rsidR="00357368" w:rsidRPr="00657AD3">
        <w:rPr>
          <w:b/>
          <w:i/>
          <w:szCs w:val="24"/>
        </w:rPr>
        <w:t xml:space="preserve"> Products </w:t>
      </w:r>
    </w:p>
    <w:p w:rsidR="00357368" w:rsidRPr="00657AD3" w:rsidRDefault="00357368" w:rsidP="00357368">
      <w:pPr>
        <w:spacing w:after="0" w:line="240" w:lineRule="auto"/>
        <w:jc w:val="both"/>
        <w:rPr>
          <w:i/>
          <w:szCs w:val="24"/>
        </w:rPr>
      </w:pPr>
    </w:p>
    <w:p w:rsidR="00357368" w:rsidRPr="00657AD3" w:rsidRDefault="00357368" w:rsidP="00357368">
      <w:pPr>
        <w:pStyle w:val="ListParagraph"/>
        <w:spacing w:after="0" w:line="240" w:lineRule="auto"/>
        <w:ind w:left="0"/>
        <w:jc w:val="both"/>
      </w:pPr>
      <w:r w:rsidRPr="00657AD3">
        <w:t xml:space="preserve">As per the list of stocks submitted by </w:t>
      </w:r>
      <w:r>
        <w:t>a</w:t>
      </w:r>
      <w:r w:rsidRPr="00657AD3">
        <w:t xml:space="preserve"> Freeport </w:t>
      </w:r>
      <w:r>
        <w:t>O</w:t>
      </w:r>
      <w:r w:rsidRPr="00657AD3">
        <w:t>perator, a large quantity of 45 different expired medical products</w:t>
      </w:r>
      <w:r>
        <w:t>, including some 70,300 tablets, 14,200 soaps, 16,000 units of jelly tubes,</w:t>
      </w:r>
      <w:r w:rsidRPr="00657AD3">
        <w:t xml:space="preserve"> were </w:t>
      </w:r>
      <w:r>
        <w:t>kept</w:t>
      </w:r>
      <w:r w:rsidRPr="00657AD3">
        <w:t xml:space="preserve"> at the Freeport </w:t>
      </w:r>
      <w:r>
        <w:t>Z</w:t>
      </w:r>
      <w:r w:rsidRPr="00657AD3">
        <w:t xml:space="preserve">ones </w:t>
      </w:r>
      <w:r>
        <w:t xml:space="preserve">since </w:t>
      </w:r>
      <w:r w:rsidRPr="00657AD3">
        <w:t xml:space="preserve">five years. </w:t>
      </w:r>
    </w:p>
    <w:p w:rsidR="00357368" w:rsidRDefault="00357368" w:rsidP="00357368">
      <w:pPr>
        <w:pStyle w:val="ListParagraph"/>
        <w:spacing w:after="0" w:line="240" w:lineRule="auto"/>
        <w:ind w:left="0"/>
        <w:jc w:val="both"/>
      </w:pPr>
    </w:p>
    <w:p w:rsidR="00573608" w:rsidRPr="00573608" w:rsidRDefault="00573608" w:rsidP="00573608">
      <w:pPr>
        <w:spacing w:after="0" w:line="240" w:lineRule="auto"/>
        <w:contextualSpacing/>
        <w:jc w:val="both"/>
        <w:rPr>
          <w:rFonts w:eastAsia="Times New Roman"/>
          <w:szCs w:val="24"/>
          <w:lang w:val="en-GB"/>
        </w:rPr>
      </w:pPr>
      <w:r w:rsidRPr="00573608">
        <w:rPr>
          <w:rFonts w:eastAsia="Times New Roman"/>
          <w:szCs w:val="24"/>
          <w:lang w:val="en-GB"/>
        </w:rPr>
        <w:t xml:space="preserve">As of 30 November 2017, no action was taken against the Freeport Operator for the destruction of these expired </w:t>
      </w:r>
      <w:r w:rsidRPr="00573608">
        <w:rPr>
          <w:lang w:val="en-GB"/>
        </w:rPr>
        <w:t>medical products.</w:t>
      </w:r>
    </w:p>
    <w:p w:rsidR="00573608" w:rsidRDefault="00573608" w:rsidP="00357368">
      <w:pPr>
        <w:spacing w:after="0" w:line="240" w:lineRule="auto"/>
        <w:contextualSpacing/>
        <w:jc w:val="both"/>
        <w:rPr>
          <w:rFonts w:eastAsia="Times New Roman"/>
          <w:szCs w:val="24"/>
        </w:rPr>
      </w:pPr>
    </w:p>
    <w:p w:rsidR="00357368" w:rsidRPr="008F6AE1" w:rsidRDefault="00357368" w:rsidP="00357368">
      <w:pPr>
        <w:spacing w:after="0" w:line="240" w:lineRule="auto"/>
        <w:jc w:val="both"/>
        <w:rPr>
          <w:b/>
          <w:i/>
          <w:szCs w:val="24"/>
        </w:rPr>
      </w:pPr>
      <w:r w:rsidRPr="008F6AE1">
        <w:rPr>
          <w:b/>
          <w:i/>
          <w:szCs w:val="24"/>
        </w:rPr>
        <w:lastRenderedPageBreak/>
        <w:t>Recommendations</w:t>
      </w:r>
    </w:p>
    <w:p w:rsidR="00357368" w:rsidRPr="00657AD3" w:rsidRDefault="00357368" w:rsidP="00357368">
      <w:pPr>
        <w:spacing w:after="0" w:line="240" w:lineRule="auto"/>
        <w:jc w:val="both"/>
        <w:rPr>
          <w:szCs w:val="24"/>
        </w:rPr>
      </w:pPr>
    </w:p>
    <w:p w:rsidR="00357368" w:rsidRPr="00AF07D3" w:rsidRDefault="00357368" w:rsidP="00B628CB">
      <w:pPr>
        <w:pStyle w:val="ListParagraph"/>
        <w:numPr>
          <w:ilvl w:val="0"/>
          <w:numId w:val="12"/>
        </w:numPr>
        <w:spacing w:after="0" w:line="240" w:lineRule="auto"/>
        <w:ind w:left="360"/>
        <w:jc w:val="both"/>
      </w:pPr>
      <w:r w:rsidRPr="00AF07D3">
        <w:t>Customs controls</w:t>
      </w:r>
      <w:r>
        <w:t>,</w:t>
      </w:r>
      <w:r w:rsidRPr="00AF07D3">
        <w:t xml:space="preserve"> such as scanning and examination of containers should be reinforced in the Freeport Zones</w:t>
      </w:r>
      <w:r>
        <w:t>;</w:t>
      </w:r>
      <w:r w:rsidRPr="00AF07D3">
        <w:t xml:space="preserve"> </w:t>
      </w:r>
    </w:p>
    <w:p w:rsidR="00573608" w:rsidRPr="00573608" w:rsidRDefault="00573608" w:rsidP="00573608">
      <w:pPr>
        <w:spacing w:after="0" w:line="240" w:lineRule="auto"/>
        <w:jc w:val="both"/>
        <w:rPr>
          <w:rFonts w:eastAsiaTheme="minorHAnsi"/>
        </w:rPr>
      </w:pPr>
    </w:p>
    <w:p w:rsidR="00573608" w:rsidRPr="00573608" w:rsidRDefault="00573608" w:rsidP="00B628CB">
      <w:pPr>
        <w:numPr>
          <w:ilvl w:val="0"/>
          <w:numId w:val="12"/>
        </w:numPr>
        <w:spacing w:after="0" w:line="240" w:lineRule="auto"/>
        <w:ind w:left="360"/>
        <w:contextualSpacing/>
        <w:jc w:val="both"/>
        <w:rPr>
          <w:szCs w:val="24"/>
        </w:rPr>
      </w:pPr>
      <w:r w:rsidRPr="00573608">
        <w:rPr>
          <w:rFonts w:eastAsia="Times New Roman"/>
          <w:szCs w:val="24"/>
        </w:rPr>
        <w:t>The SOP Manual should be amended to include scanning of cont</w:t>
      </w:r>
      <w:r w:rsidR="00951F36">
        <w:rPr>
          <w:rFonts w:eastAsia="Times New Roman"/>
          <w:szCs w:val="24"/>
        </w:rPr>
        <w:t>ainers prior to their release to</w:t>
      </w:r>
      <w:r w:rsidRPr="00573608">
        <w:rPr>
          <w:rFonts w:eastAsia="Times New Roman"/>
          <w:szCs w:val="24"/>
        </w:rPr>
        <w:t xml:space="preserve"> Freeport Zones.</w:t>
      </w:r>
    </w:p>
    <w:p w:rsidR="00573608" w:rsidRPr="00573608" w:rsidRDefault="00573608" w:rsidP="00573608">
      <w:pPr>
        <w:spacing w:after="0" w:line="240" w:lineRule="auto"/>
        <w:ind w:left="360" w:hanging="360"/>
        <w:rPr>
          <w:szCs w:val="24"/>
          <w:lang w:val="en-GB"/>
        </w:rPr>
      </w:pPr>
    </w:p>
    <w:p w:rsidR="00573608" w:rsidRPr="00573608" w:rsidRDefault="00573608" w:rsidP="00B628CB">
      <w:pPr>
        <w:numPr>
          <w:ilvl w:val="0"/>
          <w:numId w:val="12"/>
        </w:numPr>
        <w:spacing w:after="0" w:line="240" w:lineRule="auto"/>
        <w:ind w:left="360"/>
        <w:contextualSpacing/>
        <w:jc w:val="both"/>
        <w:rPr>
          <w:rFonts w:eastAsia="Times New Roman"/>
          <w:szCs w:val="24"/>
        </w:rPr>
      </w:pPr>
      <w:r w:rsidRPr="00573608">
        <w:rPr>
          <w:rFonts w:eastAsia="Times New Roman"/>
          <w:szCs w:val="24"/>
        </w:rPr>
        <w:t>Appropriate action should be initiated for the destruction of the expired medical products</w:t>
      </w:r>
      <w:r>
        <w:rPr>
          <w:rFonts w:eastAsia="Times New Roman"/>
          <w:szCs w:val="24"/>
        </w:rPr>
        <w:t>.</w:t>
      </w:r>
      <w:r w:rsidRPr="00573608">
        <w:rPr>
          <w:rFonts w:eastAsia="Times New Roman"/>
          <w:szCs w:val="24"/>
        </w:rPr>
        <w:t xml:space="preserve"> </w:t>
      </w:r>
    </w:p>
    <w:p w:rsidR="00357368" w:rsidRDefault="00357368" w:rsidP="00357368">
      <w:pPr>
        <w:spacing w:after="0" w:line="240" w:lineRule="auto"/>
        <w:contextualSpacing/>
        <w:jc w:val="both"/>
        <w:rPr>
          <w:rFonts w:eastAsia="Times New Roman"/>
          <w:szCs w:val="24"/>
        </w:rPr>
      </w:pPr>
    </w:p>
    <w:p w:rsidR="00357368" w:rsidRPr="008F6AE1" w:rsidRDefault="00357368" w:rsidP="00357368">
      <w:pPr>
        <w:autoSpaceDE w:val="0"/>
        <w:autoSpaceDN w:val="0"/>
        <w:adjustRightInd w:val="0"/>
        <w:spacing w:after="0" w:line="240" w:lineRule="auto"/>
        <w:jc w:val="both"/>
        <w:rPr>
          <w:b/>
          <w:i/>
          <w:szCs w:val="24"/>
        </w:rPr>
      </w:pPr>
      <w:r w:rsidRPr="008F6AE1">
        <w:rPr>
          <w:b/>
          <w:i/>
          <w:szCs w:val="24"/>
        </w:rPr>
        <w:t>Management’s Reply</w:t>
      </w:r>
    </w:p>
    <w:p w:rsidR="00357368" w:rsidRPr="00657AD3" w:rsidRDefault="00357368" w:rsidP="00357368">
      <w:pPr>
        <w:autoSpaceDE w:val="0"/>
        <w:autoSpaceDN w:val="0"/>
        <w:adjustRightInd w:val="0"/>
        <w:spacing w:after="0" w:line="240" w:lineRule="auto"/>
        <w:jc w:val="both"/>
        <w:rPr>
          <w:szCs w:val="24"/>
        </w:rPr>
      </w:pPr>
    </w:p>
    <w:p w:rsidR="00E52DE0" w:rsidRPr="00E52DE0" w:rsidRDefault="00E52DE0" w:rsidP="00E52DE0">
      <w:pPr>
        <w:tabs>
          <w:tab w:val="left" w:pos="914"/>
        </w:tabs>
        <w:spacing w:after="0" w:line="240" w:lineRule="auto"/>
        <w:jc w:val="both"/>
        <w:rPr>
          <w:lang w:val="en-GB"/>
        </w:rPr>
      </w:pPr>
      <w:r w:rsidRPr="00E52DE0">
        <w:rPr>
          <w:szCs w:val="24"/>
          <w:lang w:val="en-GB"/>
        </w:rPr>
        <w:t>It</w:t>
      </w:r>
      <w:r w:rsidRPr="00E52DE0">
        <w:rPr>
          <w:spacing w:val="39"/>
          <w:szCs w:val="24"/>
          <w:lang w:val="en-GB"/>
        </w:rPr>
        <w:t xml:space="preserve"> </w:t>
      </w:r>
      <w:r w:rsidRPr="00E52DE0">
        <w:rPr>
          <w:szCs w:val="24"/>
          <w:lang w:val="en-GB"/>
        </w:rPr>
        <w:t>is</w:t>
      </w:r>
      <w:r w:rsidRPr="00E52DE0">
        <w:rPr>
          <w:spacing w:val="37"/>
          <w:szCs w:val="24"/>
          <w:lang w:val="en-GB"/>
        </w:rPr>
        <w:t xml:space="preserve"> </w:t>
      </w:r>
      <w:r w:rsidRPr="00E52DE0">
        <w:rPr>
          <w:spacing w:val="-2"/>
          <w:szCs w:val="24"/>
          <w:lang w:val="en-GB"/>
        </w:rPr>
        <w:t>t</w:t>
      </w:r>
      <w:r w:rsidRPr="00E52DE0">
        <w:rPr>
          <w:szCs w:val="24"/>
          <w:lang w:val="en-GB"/>
        </w:rPr>
        <w:t>o</w:t>
      </w:r>
      <w:r w:rsidRPr="00E52DE0">
        <w:rPr>
          <w:spacing w:val="40"/>
          <w:szCs w:val="24"/>
          <w:lang w:val="en-GB"/>
        </w:rPr>
        <w:t xml:space="preserve"> </w:t>
      </w:r>
      <w:r w:rsidRPr="00E52DE0">
        <w:rPr>
          <w:spacing w:val="-1"/>
          <w:szCs w:val="24"/>
          <w:lang w:val="en-GB"/>
        </w:rPr>
        <w:t>b</w:t>
      </w:r>
      <w:r w:rsidRPr="00E52DE0">
        <w:rPr>
          <w:szCs w:val="24"/>
          <w:lang w:val="en-GB"/>
        </w:rPr>
        <w:t>e</w:t>
      </w:r>
      <w:r w:rsidRPr="00E52DE0">
        <w:rPr>
          <w:spacing w:val="39"/>
          <w:szCs w:val="24"/>
          <w:lang w:val="en-GB"/>
        </w:rPr>
        <w:t xml:space="preserve"> </w:t>
      </w:r>
      <w:r w:rsidRPr="00E52DE0">
        <w:rPr>
          <w:spacing w:val="-1"/>
          <w:szCs w:val="24"/>
          <w:lang w:val="en-GB"/>
        </w:rPr>
        <w:t>n</w:t>
      </w:r>
      <w:r w:rsidRPr="00E52DE0">
        <w:rPr>
          <w:spacing w:val="-2"/>
          <w:szCs w:val="24"/>
          <w:lang w:val="en-GB"/>
        </w:rPr>
        <w:t>o</w:t>
      </w:r>
      <w:r w:rsidRPr="00E52DE0">
        <w:rPr>
          <w:szCs w:val="24"/>
          <w:lang w:val="en-GB"/>
        </w:rPr>
        <w:t>ted</w:t>
      </w:r>
      <w:r w:rsidRPr="00E52DE0">
        <w:rPr>
          <w:spacing w:val="38"/>
          <w:szCs w:val="24"/>
          <w:lang w:val="en-GB"/>
        </w:rPr>
        <w:t xml:space="preserve"> </w:t>
      </w:r>
      <w:r w:rsidRPr="00E52DE0">
        <w:rPr>
          <w:szCs w:val="24"/>
          <w:lang w:val="en-GB"/>
        </w:rPr>
        <w:t>that</w:t>
      </w:r>
      <w:r w:rsidRPr="00E52DE0">
        <w:rPr>
          <w:spacing w:val="38"/>
          <w:szCs w:val="24"/>
          <w:lang w:val="en-GB"/>
        </w:rPr>
        <w:t xml:space="preserve"> </w:t>
      </w:r>
      <w:r w:rsidRPr="00E52DE0">
        <w:rPr>
          <w:szCs w:val="24"/>
          <w:lang w:val="en-GB"/>
        </w:rPr>
        <w:t>all</w:t>
      </w:r>
      <w:r w:rsidRPr="00E52DE0">
        <w:rPr>
          <w:spacing w:val="38"/>
          <w:szCs w:val="24"/>
          <w:lang w:val="en-GB"/>
        </w:rPr>
        <w:t xml:space="preserve"> </w:t>
      </w:r>
      <w:r w:rsidRPr="00E52DE0">
        <w:rPr>
          <w:spacing w:val="-3"/>
          <w:szCs w:val="24"/>
          <w:lang w:val="en-GB"/>
        </w:rPr>
        <w:t>c</w:t>
      </w:r>
      <w:r w:rsidRPr="00E52DE0">
        <w:rPr>
          <w:spacing w:val="1"/>
          <w:szCs w:val="24"/>
          <w:lang w:val="en-GB"/>
        </w:rPr>
        <w:t>o</w:t>
      </w:r>
      <w:r w:rsidRPr="00E52DE0">
        <w:rPr>
          <w:spacing w:val="-1"/>
          <w:szCs w:val="24"/>
          <w:lang w:val="en-GB"/>
        </w:rPr>
        <w:t>n</w:t>
      </w:r>
      <w:r w:rsidRPr="00E52DE0">
        <w:rPr>
          <w:szCs w:val="24"/>
          <w:lang w:val="en-GB"/>
        </w:rPr>
        <w:t>ta</w:t>
      </w:r>
      <w:r w:rsidRPr="00E52DE0">
        <w:rPr>
          <w:spacing w:val="-3"/>
          <w:szCs w:val="24"/>
          <w:lang w:val="en-GB"/>
        </w:rPr>
        <w:t>i</w:t>
      </w:r>
      <w:r w:rsidRPr="00E52DE0">
        <w:rPr>
          <w:spacing w:val="-1"/>
          <w:szCs w:val="24"/>
          <w:lang w:val="en-GB"/>
        </w:rPr>
        <w:t>n</w:t>
      </w:r>
      <w:r w:rsidRPr="00E52DE0">
        <w:rPr>
          <w:szCs w:val="24"/>
          <w:lang w:val="en-GB"/>
        </w:rPr>
        <w:t>ers</w:t>
      </w:r>
      <w:r w:rsidRPr="00E52DE0">
        <w:rPr>
          <w:spacing w:val="39"/>
          <w:szCs w:val="24"/>
          <w:lang w:val="en-GB"/>
        </w:rPr>
        <w:t xml:space="preserve"> </w:t>
      </w:r>
      <w:r w:rsidRPr="00E52DE0">
        <w:rPr>
          <w:szCs w:val="24"/>
          <w:lang w:val="en-GB"/>
        </w:rPr>
        <w:t>r</w:t>
      </w:r>
      <w:r w:rsidRPr="00E52DE0">
        <w:rPr>
          <w:spacing w:val="-3"/>
          <w:szCs w:val="24"/>
          <w:lang w:val="en-GB"/>
        </w:rPr>
        <w:t>e</w:t>
      </w:r>
      <w:r w:rsidRPr="00E52DE0">
        <w:rPr>
          <w:szCs w:val="24"/>
          <w:lang w:val="en-GB"/>
        </w:rPr>
        <w:t>m</w:t>
      </w:r>
      <w:r w:rsidRPr="00E52DE0">
        <w:rPr>
          <w:spacing w:val="-2"/>
          <w:szCs w:val="24"/>
          <w:lang w:val="en-GB"/>
        </w:rPr>
        <w:t>o</w:t>
      </w:r>
      <w:r w:rsidRPr="00E52DE0">
        <w:rPr>
          <w:szCs w:val="24"/>
          <w:lang w:val="en-GB"/>
        </w:rPr>
        <w:t>ved</w:t>
      </w:r>
      <w:r w:rsidRPr="00E52DE0">
        <w:rPr>
          <w:spacing w:val="37"/>
          <w:szCs w:val="24"/>
          <w:lang w:val="en-GB"/>
        </w:rPr>
        <w:t xml:space="preserve"> </w:t>
      </w:r>
      <w:r w:rsidRPr="00E52DE0">
        <w:rPr>
          <w:szCs w:val="24"/>
          <w:lang w:val="en-GB"/>
        </w:rPr>
        <w:t>f</w:t>
      </w:r>
      <w:r w:rsidRPr="00E52DE0">
        <w:rPr>
          <w:spacing w:val="-3"/>
          <w:szCs w:val="24"/>
          <w:lang w:val="en-GB"/>
        </w:rPr>
        <w:t>r</w:t>
      </w:r>
      <w:r w:rsidRPr="00E52DE0">
        <w:rPr>
          <w:spacing w:val="1"/>
          <w:szCs w:val="24"/>
          <w:lang w:val="en-GB"/>
        </w:rPr>
        <w:t>o</w:t>
      </w:r>
      <w:r w:rsidRPr="00E52DE0">
        <w:rPr>
          <w:szCs w:val="24"/>
          <w:lang w:val="en-GB"/>
        </w:rPr>
        <w:t>m</w:t>
      </w:r>
      <w:r w:rsidRPr="00E52DE0">
        <w:rPr>
          <w:spacing w:val="37"/>
          <w:szCs w:val="24"/>
          <w:lang w:val="en-GB"/>
        </w:rPr>
        <w:t xml:space="preserve"> </w:t>
      </w:r>
      <w:r w:rsidRPr="00E52DE0">
        <w:rPr>
          <w:szCs w:val="24"/>
          <w:lang w:val="en-GB"/>
        </w:rPr>
        <w:t>the</w:t>
      </w:r>
      <w:r w:rsidRPr="00E52DE0">
        <w:rPr>
          <w:spacing w:val="39"/>
          <w:szCs w:val="24"/>
          <w:lang w:val="en-GB"/>
        </w:rPr>
        <w:t xml:space="preserve"> </w:t>
      </w:r>
      <w:r w:rsidRPr="00E52DE0">
        <w:rPr>
          <w:szCs w:val="24"/>
          <w:lang w:val="en-GB"/>
        </w:rPr>
        <w:t>l</w:t>
      </w:r>
      <w:r w:rsidRPr="00E52DE0">
        <w:rPr>
          <w:spacing w:val="-3"/>
          <w:szCs w:val="24"/>
          <w:lang w:val="en-GB"/>
        </w:rPr>
        <w:t>a</w:t>
      </w:r>
      <w:r w:rsidRPr="00E52DE0">
        <w:rPr>
          <w:spacing w:val="-1"/>
          <w:szCs w:val="24"/>
          <w:lang w:val="en-GB"/>
        </w:rPr>
        <w:t>nd</w:t>
      </w:r>
      <w:r w:rsidRPr="00E52DE0">
        <w:rPr>
          <w:szCs w:val="24"/>
          <w:lang w:val="en-GB"/>
        </w:rPr>
        <w:t>i</w:t>
      </w:r>
      <w:r w:rsidRPr="00E52DE0">
        <w:rPr>
          <w:spacing w:val="-2"/>
          <w:szCs w:val="24"/>
          <w:lang w:val="en-GB"/>
        </w:rPr>
        <w:t>n</w:t>
      </w:r>
      <w:r w:rsidRPr="00E52DE0">
        <w:rPr>
          <w:szCs w:val="24"/>
          <w:lang w:val="en-GB"/>
        </w:rPr>
        <w:t>g</w:t>
      </w:r>
      <w:r w:rsidRPr="00E52DE0">
        <w:rPr>
          <w:spacing w:val="38"/>
          <w:szCs w:val="24"/>
          <w:lang w:val="en-GB"/>
        </w:rPr>
        <w:t xml:space="preserve"> </w:t>
      </w:r>
      <w:r w:rsidRPr="00E52DE0">
        <w:rPr>
          <w:spacing w:val="-1"/>
          <w:szCs w:val="24"/>
          <w:lang w:val="en-GB"/>
        </w:rPr>
        <w:t>p</w:t>
      </w:r>
      <w:r w:rsidRPr="00E52DE0">
        <w:rPr>
          <w:szCs w:val="24"/>
          <w:lang w:val="en-GB"/>
        </w:rPr>
        <w:t>lace</w:t>
      </w:r>
      <w:r w:rsidRPr="00E52DE0">
        <w:rPr>
          <w:spacing w:val="38"/>
          <w:szCs w:val="24"/>
          <w:lang w:val="en-GB"/>
        </w:rPr>
        <w:t xml:space="preserve"> </w:t>
      </w:r>
      <w:r w:rsidRPr="00E52DE0">
        <w:rPr>
          <w:szCs w:val="24"/>
          <w:lang w:val="en-GB"/>
        </w:rPr>
        <w:t>to</w:t>
      </w:r>
      <w:r w:rsidRPr="00E52DE0">
        <w:rPr>
          <w:spacing w:val="40"/>
          <w:szCs w:val="24"/>
          <w:lang w:val="en-GB"/>
        </w:rPr>
        <w:t xml:space="preserve"> </w:t>
      </w:r>
      <w:r w:rsidRPr="00E52DE0">
        <w:rPr>
          <w:szCs w:val="24"/>
          <w:lang w:val="en-GB"/>
        </w:rPr>
        <w:t>a</w:t>
      </w:r>
      <w:r w:rsidRPr="00E52DE0">
        <w:rPr>
          <w:spacing w:val="38"/>
          <w:szCs w:val="24"/>
          <w:lang w:val="en-GB"/>
        </w:rPr>
        <w:t xml:space="preserve"> </w:t>
      </w:r>
      <w:r w:rsidRPr="00E52DE0">
        <w:rPr>
          <w:szCs w:val="24"/>
          <w:lang w:val="en-GB"/>
        </w:rPr>
        <w:t>F</w:t>
      </w:r>
      <w:r w:rsidRPr="00E52DE0">
        <w:rPr>
          <w:spacing w:val="-1"/>
          <w:szCs w:val="24"/>
          <w:lang w:val="en-GB"/>
        </w:rPr>
        <w:t>r</w:t>
      </w:r>
      <w:r w:rsidRPr="00E52DE0">
        <w:rPr>
          <w:szCs w:val="24"/>
          <w:lang w:val="en-GB"/>
        </w:rPr>
        <w:t>ee</w:t>
      </w:r>
      <w:r w:rsidRPr="00E52DE0">
        <w:rPr>
          <w:spacing w:val="-4"/>
          <w:szCs w:val="24"/>
          <w:lang w:val="en-GB"/>
        </w:rPr>
        <w:t>p</w:t>
      </w:r>
      <w:r w:rsidRPr="00E52DE0">
        <w:rPr>
          <w:spacing w:val="1"/>
          <w:szCs w:val="24"/>
          <w:lang w:val="en-GB"/>
        </w:rPr>
        <w:t>o</w:t>
      </w:r>
      <w:r w:rsidRPr="00E52DE0">
        <w:rPr>
          <w:szCs w:val="24"/>
          <w:lang w:val="en-GB"/>
        </w:rPr>
        <w:t>rt</w:t>
      </w:r>
      <w:r w:rsidRPr="00E52DE0">
        <w:rPr>
          <w:spacing w:val="36"/>
          <w:szCs w:val="24"/>
          <w:lang w:val="en-GB"/>
        </w:rPr>
        <w:t xml:space="preserve"> </w:t>
      </w:r>
      <w:r w:rsidR="009F0858">
        <w:rPr>
          <w:spacing w:val="-1"/>
          <w:szCs w:val="24"/>
          <w:lang w:val="en-GB"/>
        </w:rPr>
        <w:t>Z</w:t>
      </w:r>
      <w:r w:rsidRPr="00E52DE0">
        <w:rPr>
          <w:spacing w:val="1"/>
          <w:szCs w:val="24"/>
          <w:lang w:val="en-GB"/>
        </w:rPr>
        <w:t>o</w:t>
      </w:r>
      <w:r w:rsidRPr="00E52DE0">
        <w:rPr>
          <w:spacing w:val="-1"/>
          <w:szCs w:val="24"/>
          <w:lang w:val="en-GB"/>
        </w:rPr>
        <w:t>n</w:t>
      </w:r>
      <w:r w:rsidRPr="00E52DE0">
        <w:rPr>
          <w:szCs w:val="24"/>
          <w:lang w:val="en-GB"/>
        </w:rPr>
        <w:t>e</w:t>
      </w:r>
      <w:r w:rsidRPr="00E52DE0">
        <w:rPr>
          <w:spacing w:val="39"/>
          <w:szCs w:val="24"/>
          <w:lang w:val="en-GB"/>
        </w:rPr>
        <w:t xml:space="preserve"> </w:t>
      </w:r>
      <w:r w:rsidRPr="00E52DE0">
        <w:rPr>
          <w:szCs w:val="24"/>
          <w:lang w:val="en-GB"/>
        </w:rPr>
        <w:t>is m</w:t>
      </w:r>
      <w:r w:rsidRPr="00E52DE0">
        <w:rPr>
          <w:spacing w:val="1"/>
          <w:szCs w:val="24"/>
          <w:lang w:val="en-GB"/>
        </w:rPr>
        <w:t>o</w:t>
      </w:r>
      <w:r w:rsidRPr="00E52DE0">
        <w:rPr>
          <w:spacing w:val="-1"/>
          <w:szCs w:val="24"/>
          <w:lang w:val="en-GB"/>
        </w:rPr>
        <w:t>n</w:t>
      </w:r>
      <w:r w:rsidRPr="00E52DE0">
        <w:rPr>
          <w:spacing w:val="-3"/>
          <w:szCs w:val="24"/>
          <w:lang w:val="en-GB"/>
        </w:rPr>
        <w:t>i</w:t>
      </w:r>
      <w:r w:rsidRPr="00E52DE0">
        <w:rPr>
          <w:szCs w:val="24"/>
          <w:lang w:val="en-GB"/>
        </w:rPr>
        <w:t>t</w:t>
      </w:r>
      <w:r w:rsidRPr="00E52DE0">
        <w:rPr>
          <w:spacing w:val="1"/>
          <w:szCs w:val="24"/>
          <w:lang w:val="en-GB"/>
        </w:rPr>
        <w:t>o</w:t>
      </w:r>
      <w:r w:rsidRPr="00E52DE0">
        <w:rPr>
          <w:spacing w:val="-3"/>
          <w:szCs w:val="24"/>
          <w:lang w:val="en-GB"/>
        </w:rPr>
        <w:t>r</w:t>
      </w:r>
      <w:r w:rsidRPr="00E52DE0">
        <w:rPr>
          <w:szCs w:val="24"/>
          <w:lang w:val="en-GB"/>
        </w:rPr>
        <w:t xml:space="preserve">ed </w:t>
      </w:r>
      <w:r w:rsidRPr="00E52DE0">
        <w:rPr>
          <w:spacing w:val="1"/>
          <w:szCs w:val="24"/>
          <w:lang w:val="en-GB"/>
        </w:rPr>
        <w:t>o</w:t>
      </w:r>
      <w:r w:rsidRPr="00E52DE0">
        <w:rPr>
          <w:szCs w:val="24"/>
          <w:lang w:val="en-GB"/>
        </w:rPr>
        <w:t>n</w:t>
      </w:r>
      <w:r w:rsidRPr="00E52DE0">
        <w:rPr>
          <w:spacing w:val="-3"/>
          <w:szCs w:val="24"/>
          <w:lang w:val="en-GB"/>
        </w:rPr>
        <w:t xml:space="preserve"> </w:t>
      </w:r>
      <w:r w:rsidRPr="00E52DE0">
        <w:rPr>
          <w:szCs w:val="24"/>
          <w:lang w:val="en-GB"/>
        </w:rPr>
        <w:t>the</w:t>
      </w:r>
      <w:r w:rsidRPr="00E52DE0">
        <w:rPr>
          <w:spacing w:val="-2"/>
          <w:szCs w:val="24"/>
          <w:lang w:val="en-GB"/>
        </w:rPr>
        <w:t xml:space="preserve"> </w:t>
      </w:r>
      <w:r w:rsidRPr="00E52DE0">
        <w:rPr>
          <w:spacing w:val="1"/>
          <w:szCs w:val="24"/>
          <w:lang w:val="en-GB"/>
        </w:rPr>
        <w:t>O</w:t>
      </w:r>
      <w:r w:rsidRPr="00E52DE0">
        <w:rPr>
          <w:spacing w:val="-1"/>
          <w:szCs w:val="24"/>
          <w:lang w:val="en-GB"/>
        </w:rPr>
        <w:t>n</w:t>
      </w:r>
      <w:r w:rsidRPr="00E52DE0">
        <w:rPr>
          <w:szCs w:val="24"/>
          <w:lang w:val="en-GB"/>
        </w:rPr>
        <w:t>l</w:t>
      </w:r>
      <w:r w:rsidRPr="00E52DE0">
        <w:rPr>
          <w:spacing w:val="-1"/>
          <w:szCs w:val="24"/>
          <w:lang w:val="en-GB"/>
        </w:rPr>
        <w:t>in</w:t>
      </w:r>
      <w:r w:rsidRPr="00E52DE0">
        <w:rPr>
          <w:szCs w:val="24"/>
          <w:lang w:val="en-GB"/>
        </w:rPr>
        <w:t>e T</w:t>
      </w:r>
      <w:r w:rsidRPr="00E52DE0">
        <w:rPr>
          <w:spacing w:val="-3"/>
          <w:szCs w:val="24"/>
          <w:lang w:val="en-GB"/>
        </w:rPr>
        <w:t>r</w:t>
      </w:r>
      <w:r w:rsidRPr="00E52DE0">
        <w:rPr>
          <w:szCs w:val="24"/>
          <w:lang w:val="en-GB"/>
        </w:rPr>
        <w:t>acki</w:t>
      </w:r>
      <w:r w:rsidRPr="00E52DE0">
        <w:rPr>
          <w:spacing w:val="-1"/>
          <w:szCs w:val="24"/>
          <w:lang w:val="en-GB"/>
        </w:rPr>
        <w:t>n</w:t>
      </w:r>
      <w:r w:rsidRPr="00E52DE0">
        <w:rPr>
          <w:szCs w:val="24"/>
          <w:lang w:val="en-GB"/>
        </w:rPr>
        <w:t>g</w:t>
      </w:r>
      <w:r w:rsidRPr="00E52DE0">
        <w:rPr>
          <w:spacing w:val="-1"/>
          <w:szCs w:val="24"/>
          <w:lang w:val="en-GB"/>
        </w:rPr>
        <w:t xml:space="preserve"> S</w:t>
      </w:r>
      <w:r w:rsidRPr="00E52DE0">
        <w:rPr>
          <w:spacing w:val="1"/>
          <w:szCs w:val="24"/>
          <w:lang w:val="en-GB"/>
        </w:rPr>
        <w:t>y</w:t>
      </w:r>
      <w:r w:rsidRPr="00E52DE0">
        <w:rPr>
          <w:spacing w:val="-3"/>
          <w:szCs w:val="24"/>
          <w:lang w:val="en-GB"/>
        </w:rPr>
        <w:t>s</w:t>
      </w:r>
      <w:r w:rsidRPr="00E52DE0">
        <w:rPr>
          <w:szCs w:val="24"/>
          <w:lang w:val="en-GB"/>
        </w:rPr>
        <w:t>t</w:t>
      </w:r>
      <w:r w:rsidRPr="00E52DE0">
        <w:rPr>
          <w:spacing w:val="-2"/>
          <w:szCs w:val="24"/>
          <w:lang w:val="en-GB"/>
        </w:rPr>
        <w:t>e</w:t>
      </w:r>
      <w:r w:rsidRPr="00E52DE0">
        <w:rPr>
          <w:szCs w:val="24"/>
          <w:lang w:val="en-GB"/>
        </w:rPr>
        <w:t>m (OTS).</w:t>
      </w:r>
      <w:r w:rsidR="00D67A2B">
        <w:rPr>
          <w:spacing w:val="2"/>
          <w:szCs w:val="24"/>
          <w:lang w:val="en-GB"/>
        </w:rPr>
        <w:t xml:space="preserve"> </w:t>
      </w:r>
      <w:r w:rsidRPr="00E52DE0">
        <w:rPr>
          <w:lang w:val="en-GB"/>
        </w:rPr>
        <w:t>Customs controls in the Freeport are based on risk management. Accordingly, high risk goods are subject to scanning and other enforcement at the time of import into Freeport. This is supplemen</w:t>
      </w:r>
      <w:r w:rsidR="009F0858">
        <w:rPr>
          <w:lang w:val="en-GB"/>
        </w:rPr>
        <w:t>ted by a close monitoring of</w:t>
      </w:r>
      <w:r w:rsidR="003C3E99">
        <w:rPr>
          <w:lang w:val="en-GB"/>
        </w:rPr>
        <w:t xml:space="preserve"> </w:t>
      </w:r>
      <w:r w:rsidRPr="00E52DE0">
        <w:rPr>
          <w:lang w:val="en-GB"/>
        </w:rPr>
        <w:t xml:space="preserve">movement of goods from/to Freeport in the OTS. </w:t>
      </w:r>
    </w:p>
    <w:p w:rsidR="00357368" w:rsidRDefault="00357368" w:rsidP="00357368">
      <w:pPr>
        <w:spacing w:after="0" w:line="240" w:lineRule="auto"/>
        <w:rPr>
          <w:szCs w:val="24"/>
        </w:rPr>
      </w:pPr>
    </w:p>
    <w:p w:rsidR="00357368" w:rsidRDefault="00357368" w:rsidP="00357368">
      <w:pPr>
        <w:spacing w:after="0" w:line="240" w:lineRule="auto"/>
        <w:rPr>
          <w:szCs w:val="24"/>
        </w:rPr>
      </w:pPr>
    </w:p>
    <w:p w:rsidR="00357368" w:rsidRDefault="00357368">
      <w:r>
        <w:br w:type="page"/>
      </w:r>
    </w:p>
    <w:p w:rsidR="00357368" w:rsidRPr="00C36727" w:rsidRDefault="00357368" w:rsidP="00357368">
      <w:pPr>
        <w:spacing w:after="0" w:line="240" w:lineRule="auto"/>
        <w:rPr>
          <w:b/>
          <w:sz w:val="32"/>
          <w:szCs w:val="32"/>
        </w:rPr>
      </w:pPr>
      <w:r w:rsidRPr="00C36727">
        <w:rPr>
          <w:b/>
          <w:sz w:val="32"/>
          <w:szCs w:val="32"/>
        </w:rPr>
        <w:lastRenderedPageBreak/>
        <w:t xml:space="preserve">Corporate and Business Registration Department </w:t>
      </w:r>
    </w:p>
    <w:p w:rsidR="00357368" w:rsidRPr="00EF0C5B" w:rsidRDefault="00357368" w:rsidP="00357368">
      <w:pPr>
        <w:widowControl w:val="0"/>
        <w:spacing w:after="0" w:line="240" w:lineRule="auto"/>
        <w:jc w:val="both"/>
        <w:rPr>
          <w:b/>
          <w:szCs w:val="24"/>
        </w:rPr>
      </w:pPr>
      <w:bookmarkStart w:id="16" w:name="cbrd"/>
      <w:bookmarkEnd w:id="16"/>
    </w:p>
    <w:p w:rsidR="00357368" w:rsidRPr="00EF0C5B" w:rsidRDefault="00DE09C2" w:rsidP="00357368">
      <w:pPr>
        <w:spacing w:after="0" w:line="240" w:lineRule="auto"/>
        <w:jc w:val="both"/>
        <w:rPr>
          <w:rFonts w:eastAsia="Times New Roman"/>
          <w:szCs w:val="24"/>
        </w:rPr>
      </w:pPr>
      <w:r>
        <w:rPr>
          <w:rFonts w:eastAsia="Times New Roman"/>
          <w:b/>
          <w:szCs w:val="24"/>
        </w:rPr>
        <w:t>6.10</w:t>
      </w:r>
      <w:r w:rsidR="00357368">
        <w:rPr>
          <w:rFonts w:eastAsia="Times New Roman"/>
          <w:b/>
          <w:szCs w:val="24"/>
        </w:rPr>
        <w:tab/>
      </w:r>
      <w:r w:rsidR="00357368" w:rsidRPr="00EF0C5B">
        <w:rPr>
          <w:rFonts w:eastAsia="Times New Roman"/>
          <w:b/>
          <w:szCs w:val="24"/>
        </w:rPr>
        <w:t>Revenue Collection</w:t>
      </w:r>
    </w:p>
    <w:p w:rsidR="00357368" w:rsidRPr="00EF0C5B" w:rsidRDefault="00357368" w:rsidP="00357368">
      <w:pPr>
        <w:spacing w:after="0" w:line="240" w:lineRule="auto"/>
        <w:jc w:val="both"/>
        <w:rPr>
          <w:rFonts w:eastAsia="Times New Roman"/>
          <w:szCs w:val="24"/>
        </w:rPr>
      </w:pPr>
    </w:p>
    <w:p w:rsidR="00357368" w:rsidRPr="00EF0C5B" w:rsidRDefault="00357368" w:rsidP="00357368">
      <w:pPr>
        <w:spacing w:after="0" w:line="240" w:lineRule="auto"/>
        <w:jc w:val="both"/>
        <w:rPr>
          <w:rFonts w:eastAsia="Times New Roman"/>
          <w:szCs w:val="24"/>
        </w:rPr>
      </w:pPr>
      <w:r w:rsidRPr="009A0537">
        <w:rPr>
          <w:szCs w:val="24"/>
        </w:rPr>
        <w:t>The Corporate and Business Registration Department</w:t>
      </w:r>
      <w:r>
        <w:rPr>
          <w:szCs w:val="24"/>
        </w:rPr>
        <w:t xml:space="preserve"> was collecting revenue </w:t>
      </w:r>
      <w:r w:rsidRPr="00EF0C5B">
        <w:rPr>
          <w:rFonts w:eastAsia="Times New Roman"/>
          <w:color w:val="000000"/>
          <w:szCs w:val="24"/>
        </w:rPr>
        <w:t>for registration/license fees and fines</w:t>
      </w:r>
      <w:r>
        <w:rPr>
          <w:szCs w:val="24"/>
        </w:rPr>
        <w:t xml:space="preserve"> through</w:t>
      </w:r>
      <w:r w:rsidRPr="00EF0C5B">
        <w:rPr>
          <w:b/>
          <w:szCs w:val="24"/>
        </w:rPr>
        <w:t xml:space="preserve"> </w:t>
      </w:r>
      <w:r>
        <w:rPr>
          <w:szCs w:val="24"/>
        </w:rPr>
        <w:t>d</w:t>
      </w:r>
      <w:r w:rsidRPr="00EF0C5B">
        <w:rPr>
          <w:rFonts w:eastAsia="Times New Roman"/>
          <w:szCs w:val="24"/>
        </w:rPr>
        <w:t>ifferent modes of payment</w:t>
      </w:r>
      <w:r>
        <w:rPr>
          <w:rFonts w:eastAsia="Times New Roman"/>
          <w:szCs w:val="24"/>
        </w:rPr>
        <w:t>,</w:t>
      </w:r>
      <w:r w:rsidRPr="00EF0C5B">
        <w:rPr>
          <w:rFonts w:eastAsia="Times New Roman"/>
          <w:szCs w:val="24"/>
        </w:rPr>
        <w:t xml:space="preserve"> such as online, cash, </w:t>
      </w:r>
      <w:proofErr w:type="spellStart"/>
      <w:r w:rsidRPr="00EF0C5B">
        <w:rPr>
          <w:rFonts w:eastAsia="Times New Roman"/>
          <w:szCs w:val="24"/>
        </w:rPr>
        <w:t>cheques</w:t>
      </w:r>
      <w:proofErr w:type="spellEnd"/>
      <w:r w:rsidRPr="00EF0C5B">
        <w:rPr>
          <w:rFonts w:eastAsia="Times New Roman"/>
          <w:szCs w:val="24"/>
        </w:rPr>
        <w:t>, c</w:t>
      </w:r>
      <w:r>
        <w:rPr>
          <w:rFonts w:eastAsia="Times New Roman"/>
          <w:szCs w:val="24"/>
        </w:rPr>
        <w:t>redit card, and</w:t>
      </w:r>
      <w:r w:rsidRPr="00EF0C5B">
        <w:rPr>
          <w:rFonts w:eastAsia="Times New Roman"/>
          <w:szCs w:val="24"/>
        </w:rPr>
        <w:t xml:space="preserve"> deposits</w:t>
      </w:r>
      <w:r>
        <w:rPr>
          <w:rFonts w:eastAsia="Times New Roman"/>
          <w:szCs w:val="24"/>
        </w:rPr>
        <w:t xml:space="preserve"> (either Mauritian Rupees or </w:t>
      </w:r>
      <w:r w:rsidRPr="00EF0C5B">
        <w:rPr>
          <w:rFonts w:eastAsia="Times New Roman"/>
          <w:szCs w:val="24"/>
        </w:rPr>
        <w:t xml:space="preserve">US </w:t>
      </w:r>
      <w:r>
        <w:rPr>
          <w:rFonts w:eastAsia="Times New Roman"/>
          <w:szCs w:val="24"/>
        </w:rPr>
        <w:t>Dollar)</w:t>
      </w:r>
      <w:r w:rsidRPr="00A20A34">
        <w:rPr>
          <w:szCs w:val="24"/>
        </w:rPr>
        <w:t xml:space="preserve"> </w:t>
      </w:r>
      <w:r>
        <w:rPr>
          <w:szCs w:val="24"/>
        </w:rPr>
        <w:t>from its clients</w:t>
      </w:r>
      <w:r w:rsidRPr="00EF0C5B">
        <w:rPr>
          <w:rFonts w:eastAsia="Times New Roman"/>
          <w:szCs w:val="24"/>
        </w:rPr>
        <w:t xml:space="preserve">. As per Corporate Business Registration Information System (CBRIS) report, total revenue collected for 2016-17 amounted to </w:t>
      </w:r>
      <w:r>
        <w:rPr>
          <w:rFonts w:eastAsia="Times New Roman"/>
          <w:szCs w:val="24"/>
        </w:rPr>
        <w:t xml:space="preserve">some </w:t>
      </w:r>
      <w:r w:rsidRPr="00EF0C5B">
        <w:rPr>
          <w:rFonts w:eastAsia="Times New Roman"/>
          <w:szCs w:val="24"/>
        </w:rPr>
        <w:t>Rs 310.7 million</w:t>
      </w:r>
      <w:r>
        <w:rPr>
          <w:rFonts w:eastAsia="Times New Roman"/>
          <w:szCs w:val="24"/>
        </w:rPr>
        <w:t>,</w:t>
      </w:r>
      <w:r w:rsidRPr="00EF0C5B">
        <w:rPr>
          <w:rFonts w:eastAsia="Times New Roman"/>
          <w:szCs w:val="24"/>
        </w:rPr>
        <w:t xml:space="preserve"> whilst as per Treasury Abstract (TA)</w:t>
      </w:r>
      <w:r>
        <w:rPr>
          <w:rFonts w:eastAsia="Times New Roman"/>
          <w:szCs w:val="24"/>
        </w:rPr>
        <w:t>,</w:t>
      </w:r>
      <w:r w:rsidRPr="00EF0C5B">
        <w:rPr>
          <w:rFonts w:eastAsia="Times New Roman"/>
          <w:szCs w:val="24"/>
        </w:rPr>
        <w:t xml:space="preserve"> revenue reported was</w:t>
      </w:r>
      <w:r>
        <w:rPr>
          <w:rFonts w:eastAsia="Times New Roman"/>
          <w:szCs w:val="24"/>
        </w:rPr>
        <w:t xml:space="preserve"> some</w:t>
      </w:r>
      <w:r w:rsidRPr="00EF0C5B">
        <w:rPr>
          <w:rFonts w:eastAsia="Times New Roman"/>
          <w:szCs w:val="24"/>
        </w:rPr>
        <w:t xml:space="preserve"> Rs 324.5 million. There was </w:t>
      </w:r>
      <w:r>
        <w:rPr>
          <w:rFonts w:eastAsia="Times New Roman"/>
          <w:szCs w:val="24"/>
        </w:rPr>
        <w:t xml:space="preserve">thus </w:t>
      </w:r>
      <w:r w:rsidRPr="00EF0C5B">
        <w:rPr>
          <w:rFonts w:eastAsia="Times New Roman"/>
          <w:szCs w:val="24"/>
        </w:rPr>
        <w:t xml:space="preserve">an overall difference </w:t>
      </w:r>
      <w:r>
        <w:rPr>
          <w:rFonts w:eastAsia="Times New Roman"/>
          <w:szCs w:val="24"/>
        </w:rPr>
        <w:t xml:space="preserve">of </w:t>
      </w:r>
      <w:r w:rsidRPr="00EF0C5B">
        <w:rPr>
          <w:rFonts w:eastAsia="Times New Roman"/>
          <w:szCs w:val="24"/>
        </w:rPr>
        <w:t>Rs 13.8 million between the two records</w:t>
      </w:r>
      <w:r>
        <w:rPr>
          <w:rFonts w:eastAsia="Times New Roman"/>
          <w:szCs w:val="24"/>
        </w:rPr>
        <w:t xml:space="preserve">, and no reconciliation exercise was carried out </w:t>
      </w:r>
      <w:r w:rsidRPr="00EF0C5B">
        <w:rPr>
          <w:rFonts w:eastAsia="Times New Roman"/>
          <w:szCs w:val="24"/>
        </w:rPr>
        <w:t xml:space="preserve">to </w:t>
      </w:r>
      <w:r>
        <w:rPr>
          <w:rFonts w:eastAsia="Times New Roman"/>
          <w:szCs w:val="24"/>
        </w:rPr>
        <w:t>clear</w:t>
      </w:r>
      <w:r w:rsidRPr="00EF0C5B">
        <w:rPr>
          <w:rFonts w:eastAsia="Times New Roman"/>
          <w:szCs w:val="24"/>
        </w:rPr>
        <w:t xml:space="preserve"> the difference.</w:t>
      </w:r>
    </w:p>
    <w:p w:rsidR="00357368" w:rsidRPr="00EF0C5B" w:rsidRDefault="00357368" w:rsidP="00357368">
      <w:pPr>
        <w:spacing w:after="0" w:line="240" w:lineRule="auto"/>
        <w:jc w:val="both"/>
        <w:rPr>
          <w:rFonts w:eastAsia="Times New Roman"/>
          <w:color w:val="000000"/>
          <w:szCs w:val="24"/>
        </w:rPr>
      </w:pPr>
      <w:r w:rsidRPr="00EF0C5B">
        <w:rPr>
          <w:rFonts w:eastAsia="Times New Roman"/>
          <w:color w:val="000000"/>
          <w:szCs w:val="24"/>
        </w:rPr>
        <w:t> </w:t>
      </w:r>
    </w:p>
    <w:p w:rsidR="00357368" w:rsidRDefault="00357368" w:rsidP="00357368">
      <w:pPr>
        <w:spacing w:after="0" w:line="240" w:lineRule="auto"/>
        <w:jc w:val="both"/>
        <w:rPr>
          <w:rFonts w:eastAsia="Times New Roman"/>
          <w:b/>
          <w:szCs w:val="24"/>
        </w:rPr>
      </w:pPr>
    </w:p>
    <w:p w:rsidR="00357368" w:rsidRPr="00EF0C5B" w:rsidRDefault="00DE09C2" w:rsidP="00357368">
      <w:pPr>
        <w:spacing w:after="0" w:line="240" w:lineRule="auto"/>
        <w:jc w:val="both"/>
        <w:rPr>
          <w:rFonts w:eastAsia="Times New Roman"/>
          <w:szCs w:val="24"/>
        </w:rPr>
      </w:pPr>
      <w:r>
        <w:rPr>
          <w:rFonts w:eastAsia="Times New Roman"/>
          <w:b/>
          <w:color w:val="000000"/>
          <w:szCs w:val="24"/>
        </w:rPr>
        <w:t>6.11</w:t>
      </w:r>
      <w:r w:rsidR="00357368">
        <w:rPr>
          <w:rFonts w:eastAsia="Times New Roman"/>
          <w:b/>
          <w:color w:val="000000"/>
          <w:szCs w:val="24"/>
        </w:rPr>
        <w:tab/>
      </w:r>
      <w:r w:rsidR="00357368" w:rsidRPr="00EF0C5B">
        <w:rPr>
          <w:rFonts w:eastAsia="Times New Roman"/>
          <w:b/>
          <w:color w:val="000000"/>
          <w:szCs w:val="24"/>
        </w:rPr>
        <w:t xml:space="preserve">Arrears of Revenue </w:t>
      </w:r>
    </w:p>
    <w:p w:rsidR="00357368" w:rsidRPr="00EF0C5B" w:rsidRDefault="00357368" w:rsidP="00357368">
      <w:pPr>
        <w:widowControl w:val="0"/>
        <w:spacing w:after="0" w:line="240" w:lineRule="auto"/>
        <w:jc w:val="both"/>
        <w:rPr>
          <w:rFonts w:eastAsia="Times New Roman"/>
          <w:color w:val="000000"/>
          <w:szCs w:val="24"/>
        </w:rPr>
      </w:pPr>
    </w:p>
    <w:p w:rsidR="00357368" w:rsidRDefault="00357368" w:rsidP="00357368">
      <w:pPr>
        <w:widowControl w:val="0"/>
        <w:spacing w:after="0" w:line="240" w:lineRule="auto"/>
        <w:jc w:val="both"/>
        <w:rPr>
          <w:rFonts w:eastAsia="Times New Roman"/>
          <w:color w:val="000000"/>
          <w:szCs w:val="24"/>
        </w:rPr>
      </w:pPr>
      <w:r>
        <w:rPr>
          <w:rFonts w:eastAsia="Times New Roman"/>
          <w:color w:val="000000"/>
          <w:szCs w:val="24"/>
        </w:rPr>
        <w:t>A</w:t>
      </w:r>
      <w:r w:rsidRPr="00EF0C5B">
        <w:rPr>
          <w:rFonts w:eastAsia="Times New Roman"/>
          <w:color w:val="000000"/>
          <w:szCs w:val="24"/>
        </w:rPr>
        <w:t>s of 30 June 2017</w:t>
      </w:r>
      <w:r>
        <w:rPr>
          <w:rFonts w:eastAsia="Times New Roman"/>
          <w:color w:val="000000"/>
          <w:szCs w:val="24"/>
        </w:rPr>
        <w:t>, t</w:t>
      </w:r>
      <w:r w:rsidRPr="00EF0C5B">
        <w:rPr>
          <w:rFonts w:eastAsia="Times New Roman"/>
          <w:color w:val="000000"/>
          <w:szCs w:val="24"/>
        </w:rPr>
        <w:t xml:space="preserve">he arrears of revenue of </w:t>
      </w:r>
      <w:r>
        <w:rPr>
          <w:rFonts w:eastAsia="Times New Roman"/>
          <w:color w:val="000000"/>
          <w:szCs w:val="24"/>
        </w:rPr>
        <w:t>the Department</w:t>
      </w:r>
      <w:r w:rsidRPr="00EF0C5B">
        <w:rPr>
          <w:rFonts w:eastAsia="Times New Roman"/>
          <w:color w:val="000000"/>
          <w:szCs w:val="24"/>
        </w:rPr>
        <w:t xml:space="preserve"> amounted to some </w:t>
      </w:r>
      <w:r w:rsidR="006D14DB">
        <w:rPr>
          <w:rFonts w:eastAsia="Times New Roman"/>
          <w:color w:val="000000"/>
          <w:szCs w:val="24"/>
        </w:rPr>
        <w:br/>
      </w:r>
      <w:r w:rsidRPr="00EF0C5B">
        <w:rPr>
          <w:rFonts w:eastAsia="Times New Roman"/>
          <w:color w:val="000000"/>
          <w:szCs w:val="24"/>
        </w:rPr>
        <w:t xml:space="preserve">Rs 134 million. Arrears for the </w:t>
      </w:r>
      <w:r>
        <w:rPr>
          <w:rFonts w:eastAsia="Times New Roman"/>
          <w:color w:val="000000"/>
          <w:szCs w:val="24"/>
        </w:rPr>
        <w:t>p</w:t>
      </w:r>
      <w:r w:rsidRPr="00EF0C5B">
        <w:rPr>
          <w:rFonts w:eastAsia="Times New Roman"/>
          <w:color w:val="000000"/>
          <w:szCs w:val="24"/>
        </w:rPr>
        <w:t xml:space="preserve">ast </w:t>
      </w:r>
      <w:r>
        <w:rPr>
          <w:rFonts w:eastAsia="Times New Roman"/>
          <w:color w:val="000000"/>
          <w:szCs w:val="24"/>
        </w:rPr>
        <w:t>six accounting</w:t>
      </w:r>
      <w:r w:rsidRPr="00EF0C5B">
        <w:rPr>
          <w:rFonts w:eastAsia="Times New Roman"/>
          <w:color w:val="000000"/>
          <w:szCs w:val="24"/>
        </w:rPr>
        <w:t xml:space="preserve"> periods and the respective amounts written off and recovered in the ensuing fina</w:t>
      </w:r>
      <w:r w:rsidR="00517580">
        <w:rPr>
          <w:rFonts w:eastAsia="Times New Roman"/>
          <w:color w:val="000000"/>
          <w:szCs w:val="24"/>
        </w:rPr>
        <w:t>nci</w:t>
      </w:r>
      <w:r w:rsidR="009B3218">
        <w:rPr>
          <w:rFonts w:eastAsia="Times New Roman"/>
          <w:color w:val="000000"/>
          <w:szCs w:val="24"/>
        </w:rPr>
        <w:t>al periods are as per Table 6-1</w:t>
      </w:r>
      <w:r w:rsidR="00CA4A50">
        <w:rPr>
          <w:rFonts w:eastAsia="Times New Roman"/>
          <w:color w:val="000000"/>
          <w:szCs w:val="24"/>
        </w:rPr>
        <w:t>6</w:t>
      </w:r>
      <w:r w:rsidR="006D14DB">
        <w:rPr>
          <w:rFonts w:eastAsia="Times New Roman"/>
          <w:color w:val="000000"/>
          <w:szCs w:val="24"/>
        </w:rPr>
        <w:t>.</w:t>
      </w:r>
    </w:p>
    <w:p w:rsidR="00517580" w:rsidRDefault="00517580" w:rsidP="00D6786A">
      <w:pPr>
        <w:spacing w:after="0" w:line="240" w:lineRule="auto"/>
        <w:rPr>
          <w:rFonts w:eastAsia="Times New Roman"/>
          <w:color w:val="000000"/>
          <w:szCs w:val="24"/>
        </w:rPr>
      </w:pPr>
    </w:p>
    <w:p w:rsidR="00357368" w:rsidRDefault="00357368" w:rsidP="00357368">
      <w:pPr>
        <w:spacing w:after="0" w:line="240" w:lineRule="auto"/>
        <w:jc w:val="center"/>
        <w:rPr>
          <w:i/>
          <w:szCs w:val="24"/>
        </w:rPr>
      </w:pPr>
      <w:r w:rsidRPr="00EF0C5B">
        <w:rPr>
          <w:i/>
          <w:szCs w:val="24"/>
        </w:rPr>
        <w:t xml:space="preserve">Table </w:t>
      </w:r>
      <w:bookmarkStart w:id="17" w:name="_Hlk507250345"/>
      <w:r w:rsidR="009B3218">
        <w:rPr>
          <w:i/>
          <w:szCs w:val="24"/>
        </w:rPr>
        <w:t>6-</w:t>
      </w:r>
      <w:proofErr w:type="gramStart"/>
      <w:r w:rsidR="009B3218">
        <w:rPr>
          <w:i/>
          <w:szCs w:val="24"/>
        </w:rPr>
        <w:t>1</w:t>
      </w:r>
      <w:r w:rsidR="00CA4A50">
        <w:rPr>
          <w:i/>
          <w:szCs w:val="24"/>
        </w:rPr>
        <w:t>6</w:t>
      </w:r>
      <w:r w:rsidR="00D67A2B">
        <w:rPr>
          <w:i/>
          <w:szCs w:val="24"/>
        </w:rPr>
        <w:t xml:space="preserve">  </w:t>
      </w:r>
      <w:r w:rsidRPr="00EF0C5B">
        <w:rPr>
          <w:i/>
          <w:szCs w:val="24"/>
        </w:rPr>
        <w:t>Arrears</w:t>
      </w:r>
      <w:proofErr w:type="gramEnd"/>
      <w:r w:rsidRPr="00EF0C5B">
        <w:rPr>
          <w:i/>
          <w:szCs w:val="24"/>
        </w:rPr>
        <w:t xml:space="preserve">, Write Off and Recovered Amounts </w:t>
      </w:r>
    </w:p>
    <w:p w:rsidR="00357368" w:rsidRPr="009721DF" w:rsidRDefault="00357368" w:rsidP="00357368">
      <w:pPr>
        <w:spacing w:after="0" w:line="240" w:lineRule="auto"/>
        <w:rPr>
          <w:szCs w:val="24"/>
        </w:rPr>
      </w:pPr>
    </w:p>
    <w:bookmarkEnd w:id="17"/>
    <w:p w:rsidR="00357368" w:rsidRPr="00EF0C5B" w:rsidRDefault="00357368" w:rsidP="006D14DB">
      <w:pPr>
        <w:pBdr>
          <w:top w:val="single" w:sz="4" w:space="1" w:color="auto"/>
        </w:pBdr>
        <w:spacing w:after="0" w:line="240" w:lineRule="auto"/>
        <w:jc w:val="center"/>
        <w:rPr>
          <w:i/>
          <w:szCs w:val="24"/>
        </w:rPr>
      </w:pPr>
    </w:p>
    <w:tbl>
      <w:tblPr>
        <w:tblW w:w="0" w:type="auto"/>
        <w:jc w:val="center"/>
        <w:tblCellMar>
          <w:bottom w:w="142" w:type="dxa"/>
        </w:tblCellMar>
        <w:tblLook w:val="04A0" w:firstRow="1" w:lastRow="0" w:firstColumn="1" w:lastColumn="0" w:noHBand="0" w:noVBand="1"/>
      </w:tblPr>
      <w:tblGrid>
        <w:gridCol w:w="2326"/>
        <w:gridCol w:w="1029"/>
        <w:gridCol w:w="1402"/>
        <w:gridCol w:w="737"/>
        <w:gridCol w:w="1310"/>
        <w:gridCol w:w="1429"/>
      </w:tblGrid>
      <w:tr w:rsidR="00357368" w:rsidRPr="00EF0C5B" w:rsidTr="001F11DF">
        <w:trPr>
          <w:trHeight w:val="20"/>
          <w:jc w:val="center"/>
        </w:trPr>
        <w:tc>
          <w:tcPr>
            <w:tcW w:w="2326" w:type="dxa"/>
            <w:vMerge w:val="restart"/>
            <w:tcMar>
              <w:bottom w:w="170" w:type="dxa"/>
            </w:tcMar>
          </w:tcPr>
          <w:p w:rsidR="00357368" w:rsidRPr="00EF0C5B" w:rsidRDefault="00357368" w:rsidP="00DE55AE">
            <w:pPr>
              <w:spacing w:after="0" w:line="240" w:lineRule="auto"/>
              <w:rPr>
                <w:b/>
                <w:szCs w:val="24"/>
              </w:rPr>
            </w:pPr>
            <w:r w:rsidRPr="00EF0C5B">
              <w:rPr>
                <w:b/>
                <w:szCs w:val="24"/>
              </w:rPr>
              <w:t>Arrears as at</w:t>
            </w:r>
          </w:p>
        </w:tc>
        <w:tc>
          <w:tcPr>
            <w:tcW w:w="1029" w:type="dxa"/>
            <w:vMerge w:val="restart"/>
            <w:tcMar>
              <w:bottom w:w="170" w:type="dxa"/>
            </w:tcMar>
          </w:tcPr>
          <w:p w:rsidR="00357368" w:rsidRPr="00EF0C5B" w:rsidRDefault="00357368" w:rsidP="00DE55AE">
            <w:pPr>
              <w:spacing w:after="0" w:line="240" w:lineRule="auto"/>
              <w:jc w:val="center"/>
              <w:rPr>
                <w:b/>
                <w:szCs w:val="24"/>
              </w:rPr>
            </w:pPr>
            <w:r w:rsidRPr="00EF0C5B">
              <w:rPr>
                <w:b/>
                <w:szCs w:val="24"/>
              </w:rPr>
              <w:t>Arrears</w:t>
            </w:r>
          </w:p>
          <w:p w:rsidR="00DE55AE" w:rsidRDefault="00DE55AE" w:rsidP="00DE55AE">
            <w:pPr>
              <w:spacing w:after="0" w:line="240" w:lineRule="auto"/>
              <w:jc w:val="center"/>
              <w:rPr>
                <w:b/>
                <w:szCs w:val="24"/>
              </w:rPr>
            </w:pPr>
          </w:p>
          <w:p w:rsidR="00357368" w:rsidRPr="00EF0C5B" w:rsidRDefault="00357368" w:rsidP="00DE55AE">
            <w:pPr>
              <w:spacing w:after="0" w:line="240" w:lineRule="auto"/>
              <w:jc w:val="center"/>
              <w:rPr>
                <w:b/>
                <w:szCs w:val="24"/>
              </w:rPr>
            </w:pPr>
            <w:r w:rsidRPr="00EF0C5B">
              <w:rPr>
                <w:b/>
                <w:szCs w:val="24"/>
              </w:rPr>
              <w:t>(Rs m)</w:t>
            </w:r>
          </w:p>
        </w:tc>
        <w:tc>
          <w:tcPr>
            <w:tcW w:w="4878" w:type="dxa"/>
            <w:gridSpan w:val="4"/>
            <w:tcMar>
              <w:bottom w:w="170" w:type="dxa"/>
            </w:tcMar>
          </w:tcPr>
          <w:p w:rsidR="00357368" w:rsidRPr="00EF0C5B" w:rsidRDefault="00357368" w:rsidP="00DE55AE">
            <w:pPr>
              <w:spacing w:after="0" w:line="240" w:lineRule="auto"/>
              <w:jc w:val="center"/>
              <w:rPr>
                <w:b/>
                <w:szCs w:val="24"/>
              </w:rPr>
            </w:pPr>
            <w:r w:rsidRPr="00EF0C5B">
              <w:rPr>
                <w:b/>
                <w:szCs w:val="24"/>
              </w:rPr>
              <w:t>Ensuing Financial Period</w:t>
            </w:r>
          </w:p>
        </w:tc>
      </w:tr>
      <w:tr w:rsidR="00357368" w:rsidRPr="00EF0C5B" w:rsidTr="001F11DF">
        <w:trPr>
          <w:trHeight w:val="20"/>
          <w:jc w:val="center"/>
        </w:trPr>
        <w:tc>
          <w:tcPr>
            <w:tcW w:w="2326" w:type="dxa"/>
            <w:vMerge/>
            <w:tcMar>
              <w:bottom w:w="170" w:type="dxa"/>
            </w:tcMar>
          </w:tcPr>
          <w:p w:rsidR="00357368" w:rsidRPr="00EF0C5B" w:rsidRDefault="00357368" w:rsidP="00B06B3C">
            <w:pPr>
              <w:spacing w:after="0" w:line="240" w:lineRule="auto"/>
              <w:rPr>
                <w:b/>
                <w:szCs w:val="24"/>
              </w:rPr>
            </w:pPr>
          </w:p>
        </w:tc>
        <w:tc>
          <w:tcPr>
            <w:tcW w:w="1029" w:type="dxa"/>
            <w:vMerge/>
            <w:tcMar>
              <w:bottom w:w="170" w:type="dxa"/>
            </w:tcMar>
          </w:tcPr>
          <w:p w:rsidR="00357368" w:rsidRPr="00EF0C5B" w:rsidRDefault="00357368" w:rsidP="00DE55AE">
            <w:pPr>
              <w:spacing w:after="120" w:line="240" w:lineRule="auto"/>
              <w:jc w:val="both"/>
              <w:rPr>
                <w:b/>
                <w:szCs w:val="24"/>
              </w:rPr>
            </w:pPr>
          </w:p>
        </w:tc>
        <w:tc>
          <w:tcPr>
            <w:tcW w:w="1402" w:type="dxa"/>
            <w:tcMar>
              <w:left w:w="115" w:type="dxa"/>
              <w:bottom w:w="170" w:type="dxa"/>
              <w:right w:w="115" w:type="dxa"/>
            </w:tcMar>
          </w:tcPr>
          <w:p w:rsidR="00357368" w:rsidRPr="00EF0C5B" w:rsidRDefault="00357368" w:rsidP="00DE55AE">
            <w:pPr>
              <w:spacing w:after="120" w:line="240" w:lineRule="auto"/>
              <w:jc w:val="center"/>
              <w:rPr>
                <w:b/>
                <w:szCs w:val="24"/>
              </w:rPr>
            </w:pPr>
            <w:r w:rsidRPr="00EF0C5B">
              <w:rPr>
                <w:b/>
                <w:szCs w:val="24"/>
              </w:rPr>
              <w:t>Write off (Rs m)</w:t>
            </w:r>
          </w:p>
        </w:tc>
        <w:tc>
          <w:tcPr>
            <w:tcW w:w="737" w:type="dxa"/>
            <w:tcMar>
              <w:left w:w="115" w:type="dxa"/>
              <w:bottom w:w="170" w:type="dxa"/>
              <w:right w:w="115" w:type="dxa"/>
            </w:tcMar>
          </w:tcPr>
          <w:p w:rsidR="00357368" w:rsidRPr="00EF0C5B" w:rsidRDefault="00357368" w:rsidP="00DE55AE">
            <w:pPr>
              <w:spacing w:after="0" w:line="240" w:lineRule="auto"/>
              <w:jc w:val="center"/>
              <w:rPr>
                <w:b/>
                <w:szCs w:val="24"/>
              </w:rPr>
            </w:pPr>
            <w:r w:rsidRPr="00EF0C5B">
              <w:rPr>
                <w:b/>
                <w:szCs w:val="24"/>
              </w:rPr>
              <w:t>%</w:t>
            </w:r>
          </w:p>
        </w:tc>
        <w:tc>
          <w:tcPr>
            <w:tcW w:w="1310" w:type="dxa"/>
            <w:tcMar>
              <w:left w:w="115" w:type="dxa"/>
              <w:bottom w:w="170" w:type="dxa"/>
              <w:right w:w="115" w:type="dxa"/>
            </w:tcMar>
          </w:tcPr>
          <w:p w:rsidR="00357368" w:rsidRPr="00EF0C5B" w:rsidRDefault="00357368" w:rsidP="00DE55AE">
            <w:pPr>
              <w:spacing w:after="0" w:line="240" w:lineRule="auto"/>
              <w:jc w:val="center"/>
              <w:rPr>
                <w:b/>
                <w:szCs w:val="24"/>
              </w:rPr>
            </w:pPr>
            <w:r w:rsidRPr="00EF0C5B">
              <w:rPr>
                <w:b/>
                <w:szCs w:val="24"/>
              </w:rPr>
              <w:t>Recovered (Rs m)</w:t>
            </w:r>
          </w:p>
        </w:tc>
        <w:tc>
          <w:tcPr>
            <w:tcW w:w="1429" w:type="dxa"/>
            <w:tcMar>
              <w:left w:w="115" w:type="dxa"/>
              <w:bottom w:w="170" w:type="dxa"/>
              <w:right w:w="115" w:type="dxa"/>
            </w:tcMar>
          </w:tcPr>
          <w:p w:rsidR="00357368" w:rsidRPr="00EF0C5B" w:rsidRDefault="00357368" w:rsidP="00DE55AE">
            <w:pPr>
              <w:spacing w:after="0" w:line="240" w:lineRule="auto"/>
              <w:jc w:val="center"/>
              <w:rPr>
                <w:b/>
                <w:szCs w:val="24"/>
              </w:rPr>
            </w:pPr>
            <w:r w:rsidRPr="00EF0C5B">
              <w:rPr>
                <w:b/>
                <w:szCs w:val="24"/>
              </w:rPr>
              <w:t>%</w:t>
            </w:r>
          </w:p>
        </w:tc>
      </w:tr>
      <w:tr w:rsidR="00357368" w:rsidRPr="00EF0C5B" w:rsidTr="001F11DF">
        <w:trPr>
          <w:trHeight w:val="20"/>
          <w:jc w:val="center"/>
        </w:trPr>
        <w:tc>
          <w:tcPr>
            <w:tcW w:w="2326" w:type="dxa"/>
            <w:tcMar>
              <w:left w:w="115" w:type="dxa"/>
              <w:bottom w:w="170" w:type="dxa"/>
              <w:right w:w="115" w:type="dxa"/>
            </w:tcMar>
          </w:tcPr>
          <w:p w:rsidR="00357368" w:rsidRPr="00EF0C5B" w:rsidRDefault="00357368" w:rsidP="00D67A2B">
            <w:pPr>
              <w:spacing w:after="0" w:line="240" w:lineRule="auto"/>
              <w:rPr>
                <w:szCs w:val="24"/>
              </w:rPr>
            </w:pPr>
            <w:r w:rsidRPr="00EF0C5B">
              <w:rPr>
                <w:szCs w:val="24"/>
              </w:rPr>
              <w:t>31 December 201</w:t>
            </w:r>
            <w:r>
              <w:rPr>
                <w:szCs w:val="24"/>
              </w:rPr>
              <w:t>2</w:t>
            </w:r>
          </w:p>
        </w:tc>
        <w:tc>
          <w:tcPr>
            <w:tcW w:w="1029" w:type="dxa"/>
            <w:tcMar>
              <w:left w:w="115" w:type="dxa"/>
              <w:bottom w:w="170" w:type="dxa"/>
              <w:right w:w="115" w:type="dxa"/>
            </w:tcMar>
          </w:tcPr>
          <w:p w:rsidR="00357368" w:rsidRPr="00EF0C5B" w:rsidRDefault="00357368" w:rsidP="00B06B3C">
            <w:pPr>
              <w:spacing w:after="0" w:line="240" w:lineRule="auto"/>
              <w:jc w:val="center"/>
              <w:rPr>
                <w:szCs w:val="24"/>
              </w:rPr>
            </w:pPr>
            <w:r>
              <w:rPr>
                <w:szCs w:val="24"/>
              </w:rPr>
              <w:t>364</w:t>
            </w:r>
          </w:p>
        </w:tc>
        <w:tc>
          <w:tcPr>
            <w:tcW w:w="1402" w:type="dxa"/>
            <w:tcMar>
              <w:left w:w="115" w:type="dxa"/>
              <w:bottom w:w="170" w:type="dxa"/>
              <w:right w:w="115" w:type="dxa"/>
            </w:tcMar>
          </w:tcPr>
          <w:p w:rsidR="00357368" w:rsidRPr="00EF0C5B" w:rsidRDefault="00357368" w:rsidP="00B06B3C">
            <w:pPr>
              <w:spacing w:after="0" w:line="240" w:lineRule="auto"/>
              <w:ind w:left="-87" w:right="439" w:hanging="177"/>
              <w:jc w:val="right"/>
              <w:rPr>
                <w:szCs w:val="24"/>
              </w:rPr>
            </w:pPr>
            <w:r>
              <w:rPr>
                <w:szCs w:val="24"/>
              </w:rPr>
              <w:t>164</w:t>
            </w:r>
          </w:p>
        </w:tc>
        <w:tc>
          <w:tcPr>
            <w:tcW w:w="737" w:type="dxa"/>
            <w:tcMar>
              <w:left w:w="115" w:type="dxa"/>
              <w:bottom w:w="170" w:type="dxa"/>
              <w:right w:w="115" w:type="dxa"/>
            </w:tcMar>
          </w:tcPr>
          <w:p w:rsidR="00357368" w:rsidRPr="00EF0C5B" w:rsidRDefault="00357368" w:rsidP="00B06B3C">
            <w:pPr>
              <w:spacing w:after="0" w:line="240" w:lineRule="auto"/>
              <w:jc w:val="center"/>
              <w:rPr>
                <w:szCs w:val="24"/>
              </w:rPr>
            </w:pPr>
            <w:r>
              <w:rPr>
                <w:szCs w:val="24"/>
              </w:rPr>
              <w:t>45</w:t>
            </w:r>
          </w:p>
        </w:tc>
        <w:tc>
          <w:tcPr>
            <w:tcW w:w="1310" w:type="dxa"/>
            <w:tcMar>
              <w:left w:w="115" w:type="dxa"/>
              <w:bottom w:w="170" w:type="dxa"/>
              <w:right w:w="115" w:type="dxa"/>
            </w:tcMar>
          </w:tcPr>
          <w:p w:rsidR="00357368" w:rsidRPr="00EF0C5B" w:rsidRDefault="00357368" w:rsidP="00B06B3C">
            <w:pPr>
              <w:spacing w:after="0" w:line="240" w:lineRule="auto"/>
              <w:ind w:left="-329" w:right="433"/>
              <w:jc w:val="right"/>
              <w:rPr>
                <w:szCs w:val="24"/>
              </w:rPr>
            </w:pPr>
            <w:r>
              <w:rPr>
                <w:szCs w:val="24"/>
              </w:rPr>
              <w:t>40</w:t>
            </w:r>
          </w:p>
        </w:tc>
        <w:tc>
          <w:tcPr>
            <w:tcW w:w="1429" w:type="dxa"/>
            <w:tcMar>
              <w:left w:w="115" w:type="dxa"/>
              <w:bottom w:w="170" w:type="dxa"/>
              <w:right w:w="115" w:type="dxa"/>
            </w:tcMar>
          </w:tcPr>
          <w:p w:rsidR="00357368" w:rsidRPr="00EF0C5B" w:rsidRDefault="00357368" w:rsidP="00B06B3C">
            <w:pPr>
              <w:spacing w:after="0" w:line="240" w:lineRule="auto"/>
              <w:ind w:right="393"/>
              <w:jc w:val="right"/>
              <w:rPr>
                <w:szCs w:val="24"/>
              </w:rPr>
            </w:pPr>
            <w:r>
              <w:rPr>
                <w:szCs w:val="24"/>
              </w:rPr>
              <w:t>11.0</w:t>
            </w:r>
          </w:p>
        </w:tc>
      </w:tr>
      <w:tr w:rsidR="00357368" w:rsidRPr="00EF0C5B" w:rsidTr="001F11DF">
        <w:trPr>
          <w:trHeight w:val="20"/>
          <w:jc w:val="center"/>
        </w:trPr>
        <w:tc>
          <w:tcPr>
            <w:tcW w:w="2326" w:type="dxa"/>
            <w:tcMar>
              <w:left w:w="115" w:type="dxa"/>
              <w:bottom w:w="170" w:type="dxa"/>
              <w:right w:w="115" w:type="dxa"/>
            </w:tcMar>
          </w:tcPr>
          <w:p w:rsidR="00357368" w:rsidRPr="00EF0C5B" w:rsidRDefault="00357368" w:rsidP="00D67A2B">
            <w:pPr>
              <w:spacing w:after="0" w:line="240" w:lineRule="auto"/>
              <w:rPr>
                <w:szCs w:val="24"/>
              </w:rPr>
            </w:pPr>
            <w:r w:rsidRPr="00EF0C5B">
              <w:rPr>
                <w:szCs w:val="24"/>
              </w:rPr>
              <w:t>31 December 2013</w:t>
            </w:r>
          </w:p>
        </w:tc>
        <w:tc>
          <w:tcPr>
            <w:tcW w:w="1029"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234</w:t>
            </w:r>
          </w:p>
        </w:tc>
        <w:tc>
          <w:tcPr>
            <w:tcW w:w="1402" w:type="dxa"/>
            <w:tcMar>
              <w:left w:w="115" w:type="dxa"/>
              <w:bottom w:w="170" w:type="dxa"/>
              <w:right w:w="115" w:type="dxa"/>
            </w:tcMar>
          </w:tcPr>
          <w:p w:rsidR="00357368" w:rsidRPr="00EF0C5B" w:rsidRDefault="00357368" w:rsidP="00B06B3C">
            <w:pPr>
              <w:spacing w:after="0" w:line="240" w:lineRule="auto"/>
              <w:ind w:left="-87" w:right="439" w:hanging="177"/>
              <w:jc w:val="right"/>
              <w:rPr>
                <w:szCs w:val="24"/>
              </w:rPr>
            </w:pPr>
            <w:r w:rsidRPr="00EF0C5B">
              <w:rPr>
                <w:szCs w:val="24"/>
              </w:rPr>
              <w:t>53</w:t>
            </w:r>
          </w:p>
        </w:tc>
        <w:tc>
          <w:tcPr>
            <w:tcW w:w="737"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23</w:t>
            </w:r>
          </w:p>
        </w:tc>
        <w:tc>
          <w:tcPr>
            <w:tcW w:w="1310" w:type="dxa"/>
            <w:tcMar>
              <w:left w:w="115" w:type="dxa"/>
              <w:bottom w:w="170" w:type="dxa"/>
              <w:right w:w="115" w:type="dxa"/>
            </w:tcMar>
          </w:tcPr>
          <w:p w:rsidR="00357368" w:rsidRPr="00EF0C5B" w:rsidRDefault="00357368" w:rsidP="00B06B3C">
            <w:pPr>
              <w:spacing w:after="0" w:line="240" w:lineRule="auto"/>
              <w:ind w:left="-329" w:right="433"/>
              <w:jc w:val="right"/>
              <w:rPr>
                <w:szCs w:val="24"/>
              </w:rPr>
            </w:pPr>
            <w:r w:rsidRPr="00EF0C5B">
              <w:rPr>
                <w:szCs w:val="24"/>
              </w:rPr>
              <w:t>14</w:t>
            </w:r>
          </w:p>
        </w:tc>
        <w:tc>
          <w:tcPr>
            <w:tcW w:w="1429" w:type="dxa"/>
            <w:tcMar>
              <w:left w:w="115" w:type="dxa"/>
              <w:bottom w:w="170" w:type="dxa"/>
              <w:right w:w="115" w:type="dxa"/>
            </w:tcMar>
          </w:tcPr>
          <w:p w:rsidR="00357368" w:rsidRPr="00EF0C5B" w:rsidRDefault="00357368" w:rsidP="00B06B3C">
            <w:pPr>
              <w:spacing w:after="0" w:line="240" w:lineRule="auto"/>
              <w:ind w:right="393"/>
              <w:jc w:val="right"/>
              <w:rPr>
                <w:szCs w:val="24"/>
              </w:rPr>
            </w:pPr>
            <w:r w:rsidRPr="00EF0C5B">
              <w:rPr>
                <w:szCs w:val="24"/>
              </w:rPr>
              <w:t>6.0</w:t>
            </w:r>
          </w:p>
        </w:tc>
      </w:tr>
      <w:tr w:rsidR="00357368" w:rsidRPr="00EF0C5B" w:rsidTr="001F11DF">
        <w:trPr>
          <w:trHeight w:val="20"/>
          <w:jc w:val="center"/>
        </w:trPr>
        <w:tc>
          <w:tcPr>
            <w:tcW w:w="2326" w:type="dxa"/>
            <w:tcMar>
              <w:left w:w="115" w:type="dxa"/>
              <w:bottom w:w="170" w:type="dxa"/>
              <w:right w:w="115" w:type="dxa"/>
            </w:tcMar>
          </w:tcPr>
          <w:p w:rsidR="00357368" w:rsidRPr="00EF0C5B" w:rsidRDefault="00357368" w:rsidP="00D67A2B">
            <w:pPr>
              <w:spacing w:after="0" w:line="240" w:lineRule="auto"/>
              <w:rPr>
                <w:szCs w:val="24"/>
              </w:rPr>
            </w:pPr>
            <w:r w:rsidRPr="00EF0C5B">
              <w:rPr>
                <w:szCs w:val="24"/>
              </w:rPr>
              <w:t>31 December 2014</w:t>
            </w:r>
          </w:p>
        </w:tc>
        <w:tc>
          <w:tcPr>
            <w:tcW w:w="1029"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229</w:t>
            </w:r>
            <w:r w:rsidR="00D67A2B">
              <w:rPr>
                <w:szCs w:val="24"/>
              </w:rPr>
              <w:t xml:space="preserve"> </w:t>
            </w:r>
          </w:p>
        </w:tc>
        <w:tc>
          <w:tcPr>
            <w:tcW w:w="1402"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90</w:t>
            </w:r>
          </w:p>
        </w:tc>
        <w:tc>
          <w:tcPr>
            <w:tcW w:w="737" w:type="dxa"/>
            <w:tcMar>
              <w:left w:w="115" w:type="dxa"/>
              <w:bottom w:w="170" w:type="dxa"/>
              <w:right w:w="115" w:type="dxa"/>
            </w:tcMar>
          </w:tcPr>
          <w:p w:rsidR="00357368" w:rsidRPr="00EF0C5B" w:rsidRDefault="00357368" w:rsidP="00B06B3C">
            <w:pPr>
              <w:spacing w:after="0" w:line="240" w:lineRule="auto"/>
              <w:jc w:val="center"/>
              <w:rPr>
                <w:szCs w:val="24"/>
              </w:rPr>
            </w:pPr>
            <w:r>
              <w:rPr>
                <w:szCs w:val="24"/>
              </w:rPr>
              <w:t>39</w:t>
            </w:r>
          </w:p>
        </w:tc>
        <w:tc>
          <w:tcPr>
            <w:tcW w:w="1310" w:type="dxa"/>
            <w:tcMar>
              <w:left w:w="115" w:type="dxa"/>
              <w:bottom w:w="170" w:type="dxa"/>
              <w:right w:w="115" w:type="dxa"/>
            </w:tcMar>
          </w:tcPr>
          <w:p w:rsidR="00357368" w:rsidRPr="00EF0C5B" w:rsidRDefault="00357368" w:rsidP="00B06B3C">
            <w:pPr>
              <w:spacing w:after="0" w:line="240" w:lineRule="auto"/>
              <w:ind w:left="-329" w:right="433"/>
              <w:jc w:val="right"/>
              <w:rPr>
                <w:szCs w:val="24"/>
              </w:rPr>
            </w:pPr>
            <w:r w:rsidRPr="00EF0C5B">
              <w:rPr>
                <w:szCs w:val="24"/>
              </w:rPr>
              <w:t>11</w:t>
            </w:r>
          </w:p>
        </w:tc>
        <w:tc>
          <w:tcPr>
            <w:tcW w:w="1429" w:type="dxa"/>
            <w:tcMar>
              <w:left w:w="115" w:type="dxa"/>
              <w:bottom w:w="170" w:type="dxa"/>
              <w:right w:w="115" w:type="dxa"/>
            </w:tcMar>
          </w:tcPr>
          <w:p w:rsidR="00357368" w:rsidRPr="00EF0C5B" w:rsidRDefault="00357368" w:rsidP="00B06B3C">
            <w:pPr>
              <w:spacing w:after="0" w:line="240" w:lineRule="auto"/>
              <w:ind w:right="393"/>
              <w:jc w:val="right"/>
              <w:rPr>
                <w:szCs w:val="24"/>
              </w:rPr>
            </w:pPr>
            <w:r w:rsidRPr="00EF0C5B">
              <w:rPr>
                <w:szCs w:val="24"/>
              </w:rPr>
              <w:t>4.8</w:t>
            </w:r>
          </w:p>
        </w:tc>
      </w:tr>
      <w:tr w:rsidR="00357368" w:rsidRPr="00EF0C5B" w:rsidTr="001F11DF">
        <w:trPr>
          <w:trHeight w:val="20"/>
          <w:jc w:val="center"/>
        </w:trPr>
        <w:tc>
          <w:tcPr>
            <w:tcW w:w="2326" w:type="dxa"/>
            <w:tcMar>
              <w:left w:w="115" w:type="dxa"/>
              <w:bottom w:w="170" w:type="dxa"/>
              <w:right w:w="115" w:type="dxa"/>
            </w:tcMar>
          </w:tcPr>
          <w:p w:rsidR="00357368" w:rsidRPr="00EF0C5B" w:rsidRDefault="00357368" w:rsidP="00D67A2B">
            <w:pPr>
              <w:spacing w:after="0" w:line="240" w:lineRule="auto"/>
              <w:rPr>
                <w:szCs w:val="24"/>
              </w:rPr>
            </w:pPr>
            <w:r w:rsidRPr="00EF0C5B">
              <w:rPr>
                <w:szCs w:val="24"/>
              </w:rPr>
              <w:t>30 June 2015</w:t>
            </w:r>
          </w:p>
        </w:tc>
        <w:tc>
          <w:tcPr>
            <w:tcW w:w="1029"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155</w:t>
            </w:r>
          </w:p>
        </w:tc>
        <w:tc>
          <w:tcPr>
            <w:tcW w:w="1402" w:type="dxa"/>
            <w:tcMar>
              <w:left w:w="115" w:type="dxa"/>
              <w:bottom w:w="170" w:type="dxa"/>
              <w:right w:w="115" w:type="dxa"/>
            </w:tcMar>
          </w:tcPr>
          <w:p w:rsidR="00357368" w:rsidRPr="00EF0C5B" w:rsidRDefault="00357368" w:rsidP="00B06B3C">
            <w:pPr>
              <w:spacing w:after="0" w:line="240" w:lineRule="auto"/>
              <w:jc w:val="center"/>
              <w:rPr>
                <w:szCs w:val="24"/>
              </w:rPr>
            </w:pPr>
            <w:r>
              <w:rPr>
                <w:szCs w:val="24"/>
              </w:rPr>
              <w:t>-</w:t>
            </w:r>
          </w:p>
        </w:tc>
        <w:tc>
          <w:tcPr>
            <w:tcW w:w="737" w:type="dxa"/>
            <w:tcMar>
              <w:left w:w="115" w:type="dxa"/>
              <w:bottom w:w="170" w:type="dxa"/>
              <w:right w:w="115" w:type="dxa"/>
            </w:tcMar>
          </w:tcPr>
          <w:p w:rsidR="00357368" w:rsidRPr="00EF0C5B" w:rsidRDefault="00357368" w:rsidP="00B06B3C">
            <w:pPr>
              <w:spacing w:after="0" w:line="240" w:lineRule="auto"/>
              <w:jc w:val="center"/>
              <w:rPr>
                <w:szCs w:val="24"/>
              </w:rPr>
            </w:pPr>
            <w:r>
              <w:rPr>
                <w:szCs w:val="24"/>
              </w:rPr>
              <w:t>-</w:t>
            </w:r>
          </w:p>
        </w:tc>
        <w:tc>
          <w:tcPr>
            <w:tcW w:w="1310" w:type="dxa"/>
            <w:tcMar>
              <w:left w:w="115" w:type="dxa"/>
              <w:bottom w:w="170" w:type="dxa"/>
              <w:right w:w="115" w:type="dxa"/>
            </w:tcMar>
          </w:tcPr>
          <w:p w:rsidR="00357368" w:rsidRPr="00EF0C5B" w:rsidRDefault="00357368" w:rsidP="00B06B3C">
            <w:pPr>
              <w:spacing w:after="0" w:line="240" w:lineRule="auto"/>
              <w:ind w:left="-329" w:right="433"/>
              <w:jc w:val="right"/>
              <w:rPr>
                <w:szCs w:val="24"/>
              </w:rPr>
            </w:pPr>
            <w:r w:rsidRPr="00EF0C5B">
              <w:rPr>
                <w:szCs w:val="24"/>
              </w:rPr>
              <w:t>8</w:t>
            </w:r>
          </w:p>
        </w:tc>
        <w:tc>
          <w:tcPr>
            <w:tcW w:w="1429" w:type="dxa"/>
            <w:tcMar>
              <w:left w:w="115" w:type="dxa"/>
              <w:bottom w:w="170" w:type="dxa"/>
              <w:right w:w="115" w:type="dxa"/>
            </w:tcMar>
          </w:tcPr>
          <w:p w:rsidR="00357368" w:rsidRPr="00EF0C5B" w:rsidRDefault="00357368" w:rsidP="00B06B3C">
            <w:pPr>
              <w:spacing w:after="0" w:line="240" w:lineRule="auto"/>
              <w:ind w:right="393"/>
              <w:jc w:val="right"/>
              <w:rPr>
                <w:szCs w:val="24"/>
              </w:rPr>
            </w:pPr>
            <w:r w:rsidRPr="00EF0C5B">
              <w:rPr>
                <w:szCs w:val="24"/>
              </w:rPr>
              <w:t>5.2</w:t>
            </w:r>
          </w:p>
        </w:tc>
      </w:tr>
      <w:tr w:rsidR="00357368" w:rsidRPr="00EF0C5B" w:rsidTr="001F11DF">
        <w:trPr>
          <w:trHeight w:val="20"/>
          <w:jc w:val="center"/>
        </w:trPr>
        <w:tc>
          <w:tcPr>
            <w:tcW w:w="2326" w:type="dxa"/>
            <w:tcMar>
              <w:left w:w="115" w:type="dxa"/>
              <w:bottom w:w="170" w:type="dxa"/>
              <w:right w:w="115" w:type="dxa"/>
            </w:tcMar>
          </w:tcPr>
          <w:p w:rsidR="00357368" w:rsidRPr="00EF0C5B" w:rsidRDefault="00357368" w:rsidP="00D67A2B">
            <w:pPr>
              <w:spacing w:after="0" w:line="240" w:lineRule="auto"/>
              <w:rPr>
                <w:szCs w:val="24"/>
              </w:rPr>
            </w:pPr>
            <w:r w:rsidRPr="00EF0C5B">
              <w:rPr>
                <w:szCs w:val="24"/>
              </w:rPr>
              <w:t>30 June 2016</w:t>
            </w:r>
          </w:p>
        </w:tc>
        <w:tc>
          <w:tcPr>
            <w:tcW w:w="1029" w:type="dxa"/>
            <w:tcMar>
              <w:left w:w="115" w:type="dxa"/>
              <w:bottom w:w="170" w:type="dxa"/>
              <w:right w:w="115" w:type="dxa"/>
            </w:tcMar>
          </w:tcPr>
          <w:p w:rsidR="00357368" w:rsidRPr="00EF0C5B" w:rsidRDefault="00357368" w:rsidP="00B06B3C">
            <w:pPr>
              <w:spacing w:after="0" w:line="240" w:lineRule="auto"/>
              <w:jc w:val="center"/>
              <w:rPr>
                <w:szCs w:val="24"/>
              </w:rPr>
            </w:pPr>
            <w:r w:rsidRPr="00EF0C5B">
              <w:rPr>
                <w:szCs w:val="24"/>
              </w:rPr>
              <w:t>167</w:t>
            </w:r>
          </w:p>
        </w:tc>
        <w:tc>
          <w:tcPr>
            <w:tcW w:w="1402" w:type="dxa"/>
            <w:tcMar>
              <w:left w:w="115" w:type="dxa"/>
              <w:bottom w:w="170" w:type="dxa"/>
              <w:right w:w="115" w:type="dxa"/>
            </w:tcMar>
          </w:tcPr>
          <w:p w:rsidR="00357368" w:rsidRPr="00FC461C" w:rsidRDefault="00357368" w:rsidP="00B06B3C">
            <w:pPr>
              <w:spacing w:after="0" w:line="240" w:lineRule="auto"/>
              <w:jc w:val="center"/>
              <w:rPr>
                <w:szCs w:val="24"/>
              </w:rPr>
            </w:pPr>
            <w:r w:rsidRPr="00FC461C">
              <w:rPr>
                <w:szCs w:val="24"/>
              </w:rPr>
              <w:t>47</w:t>
            </w:r>
          </w:p>
        </w:tc>
        <w:tc>
          <w:tcPr>
            <w:tcW w:w="737" w:type="dxa"/>
            <w:tcMar>
              <w:left w:w="115" w:type="dxa"/>
              <w:bottom w:w="170" w:type="dxa"/>
              <w:right w:w="115" w:type="dxa"/>
            </w:tcMar>
          </w:tcPr>
          <w:p w:rsidR="00357368" w:rsidRPr="00FC461C" w:rsidRDefault="00357368" w:rsidP="00B06B3C">
            <w:pPr>
              <w:spacing w:after="0" w:line="240" w:lineRule="auto"/>
              <w:jc w:val="center"/>
              <w:rPr>
                <w:szCs w:val="24"/>
              </w:rPr>
            </w:pPr>
            <w:r>
              <w:rPr>
                <w:szCs w:val="24"/>
              </w:rPr>
              <w:t>28</w:t>
            </w:r>
          </w:p>
        </w:tc>
        <w:tc>
          <w:tcPr>
            <w:tcW w:w="1310" w:type="dxa"/>
            <w:tcMar>
              <w:left w:w="115" w:type="dxa"/>
              <w:bottom w:w="170" w:type="dxa"/>
              <w:right w:w="115" w:type="dxa"/>
            </w:tcMar>
          </w:tcPr>
          <w:p w:rsidR="00357368" w:rsidRPr="00EF0C5B" w:rsidRDefault="00357368" w:rsidP="00B06B3C">
            <w:pPr>
              <w:spacing w:after="0" w:line="240" w:lineRule="auto"/>
              <w:ind w:left="-329" w:right="433"/>
              <w:jc w:val="right"/>
              <w:rPr>
                <w:szCs w:val="24"/>
              </w:rPr>
            </w:pPr>
            <w:r>
              <w:rPr>
                <w:szCs w:val="24"/>
              </w:rPr>
              <w:t>8</w:t>
            </w:r>
          </w:p>
        </w:tc>
        <w:tc>
          <w:tcPr>
            <w:tcW w:w="1429" w:type="dxa"/>
            <w:tcMar>
              <w:left w:w="115" w:type="dxa"/>
              <w:bottom w:w="170" w:type="dxa"/>
              <w:right w:w="115" w:type="dxa"/>
            </w:tcMar>
          </w:tcPr>
          <w:p w:rsidR="00357368" w:rsidRPr="00EF0C5B" w:rsidRDefault="00357368" w:rsidP="00B06B3C">
            <w:pPr>
              <w:spacing w:after="0" w:line="240" w:lineRule="auto"/>
              <w:ind w:right="393"/>
              <w:jc w:val="right"/>
              <w:rPr>
                <w:szCs w:val="24"/>
              </w:rPr>
            </w:pPr>
            <w:r>
              <w:rPr>
                <w:szCs w:val="24"/>
              </w:rPr>
              <w:t>4.8</w:t>
            </w:r>
          </w:p>
        </w:tc>
      </w:tr>
      <w:tr w:rsidR="00357368" w:rsidRPr="00EF0C5B" w:rsidTr="001F11DF">
        <w:trPr>
          <w:trHeight w:val="20"/>
          <w:jc w:val="center"/>
        </w:trPr>
        <w:tc>
          <w:tcPr>
            <w:tcW w:w="2326" w:type="dxa"/>
            <w:tcMar>
              <w:left w:w="115" w:type="dxa"/>
              <w:bottom w:w="72" w:type="dxa"/>
              <w:right w:w="115" w:type="dxa"/>
            </w:tcMar>
          </w:tcPr>
          <w:p w:rsidR="00357368" w:rsidRPr="00EF0C5B" w:rsidRDefault="00357368" w:rsidP="00D67A2B">
            <w:pPr>
              <w:spacing w:after="0" w:line="240" w:lineRule="auto"/>
              <w:rPr>
                <w:szCs w:val="24"/>
              </w:rPr>
            </w:pPr>
            <w:r w:rsidRPr="00EF0C5B">
              <w:rPr>
                <w:szCs w:val="24"/>
              </w:rPr>
              <w:t>30 June 2017</w:t>
            </w:r>
          </w:p>
        </w:tc>
        <w:tc>
          <w:tcPr>
            <w:tcW w:w="1029" w:type="dxa"/>
            <w:tcMar>
              <w:left w:w="115" w:type="dxa"/>
              <w:bottom w:w="72" w:type="dxa"/>
              <w:right w:w="115" w:type="dxa"/>
            </w:tcMar>
          </w:tcPr>
          <w:p w:rsidR="00357368" w:rsidRPr="00EF0C5B" w:rsidRDefault="00357368" w:rsidP="00B06B3C">
            <w:pPr>
              <w:spacing w:after="0" w:line="240" w:lineRule="auto"/>
              <w:jc w:val="center"/>
              <w:rPr>
                <w:szCs w:val="24"/>
              </w:rPr>
            </w:pPr>
            <w:r w:rsidRPr="00EF0C5B">
              <w:rPr>
                <w:szCs w:val="24"/>
              </w:rPr>
              <w:t>134</w:t>
            </w:r>
          </w:p>
        </w:tc>
        <w:tc>
          <w:tcPr>
            <w:tcW w:w="1402" w:type="dxa"/>
            <w:tcMar>
              <w:left w:w="115" w:type="dxa"/>
              <w:bottom w:w="72" w:type="dxa"/>
              <w:right w:w="115" w:type="dxa"/>
            </w:tcMar>
          </w:tcPr>
          <w:p w:rsidR="00357368" w:rsidRPr="006A4614" w:rsidRDefault="00357368" w:rsidP="00B06B3C">
            <w:pPr>
              <w:spacing w:after="0" w:line="240" w:lineRule="auto"/>
              <w:jc w:val="center"/>
              <w:rPr>
                <w:b/>
                <w:color w:val="FF0000"/>
                <w:szCs w:val="24"/>
              </w:rPr>
            </w:pPr>
          </w:p>
        </w:tc>
        <w:tc>
          <w:tcPr>
            <w:tcW w:w="737" w:type="dxa"/>
            <w:tcMar>
              <w:left w:w="115" w:type="dxa"/>
              <w:bottom w:w="72" w:type="dxa"/>
              <w:right w:w="115" w:type="dxa"/>
            </w:tcMar>
          </w:tcPr>
          <w:p w:rsidR="00357368" w:rsidRPr="006A4614" w:rsidRDefault="00357368" w:rsidP="00B06B3C">
            <w:pPr>
              <w:spacing w:after="0" w:line="240" w:lineRule="auto"/>
              <w:jc w:val="center"/>
              <w:rPr>
                <w:b/>
                <w:color w:val="FF0000"/>
                <w:szCs w:val="24"/>
              </w:rPr>
            </w:pPr>
          </w:p>
        </w:tc>
        <w:tc>
          <w:tcPr>
            <w:tcW w:w="1310" w:type="dxa"/>
            <w:tcMar>
              <w:left w:w="115" w:type="dxa"/>
              <w:bottom w:w="72" w:type="dxa"/>
              <w:right w:w="115" w:type="dxa"/>
            </w:tcMar>
          </w:tcPr>
          <w:p w:rsidR="00357368" w:rsidRPr="00EF0C5B" w:rsidRDefault="00357368" w:rsidP="00B06B3C">
            <w:pPr>
              <w:spacing w:after="0" w:line="240" w:lineRule="auto"/>
              <w:ind w:left="-329" w:right="433"/>
              <w:jc w:val="center"/>
              <w:rPr>
                <w:szCs w:val="24"/>
              </w:rPr>
            </w:pPr>
          </w:p>
        </w:tc>
        <w:tc>
          <w:tcPr>
            <w:tcW w:w="1429" w:type="dxa"/>
            <w:tcMar>
              <w:left w:w="115" w:type="dxa"/>
              <w:bottom w:w="72" w:type="dxa"/>
              <w:right w:w="115" w:type="dxa"/>
            </w:tcMar>
          </w:tcPr>
          <w:p w:rsidR="00357368" w:rsidRPr="00EF0C5B" w:rsidRDefault="00357368" w:rsidP="00B06B3C">
            <w:pPr>
              <w:spacing w:after="0" w:line="240" w:lineRule="auto"/>
              <w:ind w:right="393"/>
              <w:jc w:val="right"/>
              <w:rPr>
                <w:szCs w:val="24"/>
              </w:rPr>
            </w:pPr>
          </w:p>
        </w:tc>
      </w:tr>
    </w:tbl>
    <w:p w:rsidR="006D14DB" w:rsidRDefault="006D14DB" w:rsidP="006D14DB">
      <w:pPr>
        <w:pBdr>
          <w:bottom w:val="single" w:sz="4" w:space="1" w:color="auto"/>
        </w:pBdr>
        <w:spacing w:after="0" w:line="240" w:lineRule="auto"/>
        <w:rPr>
          <w:rFonts w:eastAsia="Times New Roman"/>
          <w:b/>
          <w:i/>
          <w:color w:val="000000"/>
          <w:sz w:val="20"/>
          <w:szCs w:val="20"/>
        </w:rPr>
      </w:pPr>
    </w:p>
    <w:p w:rsidR="00357368" w:rsidRPr="006D14DB" w:rsidRDefault="00357368" w:rsidP="00793D24">
      <w:pPr>
        <w:spacing w:after="0" w:line="240" w:lineRule="auto"/>
        <w:rPr>
          <w:rFonts w:eastAsia="Times New Roman"/>
          <w:i/>
          <w:color w:val="000000"/>
          <w:sz w:val="20"/>
          <w:szCs w:val="20"/>
        </w:rPr>
      </w:pPr>
      <w:r w:rsidRPr="006D14DB">
        <w:rPr>
          <w:rFonts w:eastAsia="Times New Roman"/>
          <w:i/>
          <w:color w:val="000000"/>
          <w:sz w:val="20"/>
          <w:szCs w:val="20"/>
        </w:rPr>
        <w:t>Source: Returns of Arrears</w:t>
      </w:r>
    </w:p>
    <w:p w:rsidR="00357368" w:rsidRDefault="00357368" w:rsidP="00357368">
      <w:pPr>
        <w:spacing w:after="0" w:line="240" w:lineRule="auto"/>
        <w:jc w:val="both"/>
        <w:rPr>
          <w:rFonts w:eastAsia="Times New Roman"/>
          <w:color w:val="000000"/>
          <w:szCs w:val="24"/>
        </w:rPr>
      </w:pPr>
    </w:p>
    <w:p w:rsidR="00357368" w:rsidRPr="00EF0C5B" w:rsidRDefault="00357368" w:rsidP="00357368">
      <w:pPr>
        <w:spacing w:after="0" w:line="240" w:lineRule="auto"/>
        <w:jc w:val="both"/>
        <w:rPr>
          <w:rFonts w:eastAsia="Times New Roman"/>
          <w:szCs w:val="24"/>
        </w:rPr>
      </w:pPr>
      <w:r>
        <w:rPr>
          <w:rFonts w:eastAsia="Times New Roman"/>
          <w:szCs w:val="24"/>
        </w:rPr>
        <w:t>At p</w:t>
      </w:r>
      <w:r w:rsidRPr="00EF0C5B">
        <w:rPr>
          <w:rFonts w:eastAsia="Times New Roman"/>
          <w:szCs w:val="24"/>
        </w:rPr>
        <w:t xml:space="preserve">aragraph 7.9 of </w:t>
      </w:r>
      <w:r>
        <w:rPr>
          <w:rFonts w:eastAsia="Times New Roman"/>
          <w:szCs w:val="24"/>
        </w:rPr>
        <w:t xml:space="preserve">the </w:t>
      </w:r>
      <w:r w:rsidRPr="00EF0C5B">
        <w:rPr>
          <w:rFonts w:eastAsia="Times New Roman"/>
          <w:szCs w:val="24"/>
        </w:rPr>
        <w:t>Audit Report for the 18-month period 1 January 2015 to 30 June 2016</w:t>
      </w:r>
      <w:r>
        <w:rPr>
          <w:rFonts w:eastAsia="Times New Roman"/>
          <w:szCs w:val="24"/>
        </w:rPr>
        <w:t>, it was highlighted that t</w:t>
      </w:r>
      <w:r w:rsidRPr="00EF0C5B">
        <w:rPr>
          <w:rFonts w:eastAsia="Times New Roman"/>
          <w:color w:val="000000"/>
          <w:szCs w:val="24"/>
        </w:rPr>
        <w:t>he decrease in arrears was mainly due to the write off of significant amount of arrears</w:t>
      </w:r>
      <w:r>
        <w:rPr>
          <w:rFonts w:eastAsia="Times New Roman"/>
          <w:color w:val="000000"/>
          <w:szCs w:val="24"/>
        </w:rPr>
        <w:t>.</w:t>
      </w:r>
      <w:r w:rsidR="00D67A2B">
        <w:rPr>
          <w:rFonts w:eastAsia="Times New Roman"/>
          <w:color w:val="000000"/>
          <w:szCs w:val="24"/>
        </w:rPr>
        <w:t xml:space="preserve"> </w:t>
      </w:r>
      <w:r>
        <w:rPr>
          <w:rFonts w:eastAsia="Times New Roman"/>
          <w:color w:val="000000"/>
          <w:szCs w:val="24"/>
        </w:rPr>
        <w:t>Total arrears written off during</w:t>
      </w:r>
      <w:r w:rsidRPr="00EF0C5B">
        <w:rPr>
          <w:rFonts w:eastAsia="Times New Roman"/>
          <w:color w:val="000000"/>
          <w:szCs w:val="24"/>
        </w:rPr>
        <w:t xml:space="preserve"> the </w:t>
      </w:r>
      <w:r>
        <w:rPr>
          <w:rFonts w:eastAsia="Times New Roman"/>
          <w:color w:val="000000"/>
          <w:szCs w:val="24"/>
        </w:rPr>
        <w:t>period</w:t>
      </w:r>
      <w:r w:rsidRPr="00EF0C5B">
        <w:rPr>
          <w:rFonts w:eastAsia="Times New Roman"/>
          <w:color w:val="000000"/>
          <w:szCs w:val="24"/>
        </w:rPr>
        <w:t xml:space="preserve"> </w:t>
      </w:r>
      <w:r>
        <w:rPr>
          <w:rFonts w:eastAsia="Times New Roman"/>
          <w:color w:val="000000"/>
          <w:szCs w:val="24"/>
        </w:rPr>
        <w:t xml:space="preserve">1 January </w:t>
      </w:r>
      <w:r w:rsidRPr="00EF0C5B">
        <w:rPr>
          <w:rFonts w:eastAsia="Times New Roman"/>
          <w:color w:val="000000"/>
          <w:szCs w:val="24"/>
        </w:rPr>
        <w:t xml:space="preserve">2013 to </w:t>
      </w:r>
      <w:r>
        <w:rPr>
          <w:rFonts w:eastAsia="Times New Roman"/>
          <w:color w:val="000000"/>
          <w:szCs w:val="24"/>
        </w:rPr>
        <w:t xml:space="preserve">30 June </w:t>
      </w:r>
      <w:r w:rsidRPr="00EF0C5B">
        <w:rPr>
          <w:rFonts w:eastAsia="Times New Roman"/>
          <w:color w:val="000000"/>
          <w:szCs w:val="24"/>
        </w:rPr>
        <w:t>2017</w:t>
      </w:r>
      <w:r>
        <w:rPr>
          <w:rFonts w:eastAsia="Times New Roman"/>
          <w:color w:val="000000"/>
          <w:szCs w:val="24"/>
        </w:rPr>
        <w:t xml:space="preserve"> had thus reached </w:t>
      </w:r>
      <w:r w:rsidRPr="00EF0C5B">
        <w:rPr>
          <w:rFonts w:eastAsia="Times New Roman"/>
          <w:color w:val="000000"/>
          <w:szCs w:val="24"/>
        </w:rPr>
        <w:t>some Rs 354 million</w:t>
      </w:r>
      <w:r>
        <w:rPr>
          <w:rFonts w:eastAsia="Times New Roman"/>
          <w:color w:val="000000"/>
          <w:szCs w:val="24"/>
        </w:rPr>
        <w:t>, inclusive of Rs 47 million written off in 2016-17.</w:t>
      </w:r>
    </w:p>
    <w:p w:rsidR="00357368" w:rsidRPr="00EF0C5B" w:rsidRDefault="00357368" w:rsidP="00357368">
      <w:pPr>
        <w:spacing w:after="0" w:line="240" w:lineRule="auto"/>
        <w:jc w:val="both"/>
        <w:rPr>
          <w:rFonts w:eastAsia="Times New Roman"/>
          <w:color w:val="000000"/>
          <w:szCs w:val="24"/>
        </w:rPr>
      </w:pPr>
    </w:p>
    <w:p w:rsidR="00357368" w:rsidRPr="00EF0C5B" w:rsidRDefault="00357368" w:rsidP="00357368">
      <w:pPr>
        <w:spacing w:after="0" w:line="240" w:lineRule="auto"/>
        <w:jc w:val="both"/>
        <w:rPr>
          <w:rFonts w:eastAsia="Times New Roman"/>
          <w:color w:val="000000"/>
          <w:szCs w:val="24"/>
        </w:rPr>
      </w:pPr>
      <w:r>
        <w:rPr>
          <w:rFonts w:eastAsia="Times New Roman"/>
          <w:color w:val="000000"/>
          <w:szCs w:val="24"/>
        </w:rPr>
        <w:t xml:space="preserve">As regards recovery of arrears, it </w:t>
      </w:r>
      <w:r w:rsidRPr="00EF0C5B">
        <w:rPr>
          <w:rFonts w:eastAsia="Times New Roman"/>
          <w:color w:val="000000"/>
          <w:szCs w:val="24"/>
        </w:rPr>
        <w:t xml:space="preserve">was still </w:t>
      </w:r>
      <w:r>
        <w:rPr>
          <w:rFonts w:eastAsia="Times New Roman"/>
          <w:color w:val="000000"/>
          <w:szCs w:val="24"/>
        </w:rPr>
        <w:t>s</w:t>
      </w:r>
      <w:r w:rsidRPr="00EF0C5B">
        <w:rPr>
          <w:rFonts w:eastAsia="Times New Roman"/>
          <w:color w:val="000000"/>
          <w:szCs w:val="24"/>
        </w:rPr>
        <w:t>low</w:t>
      </w:r>
      <w:r>
        <w:rPr>
          <w:rFonts w:eastAsia="Times New Roman"/>
          <w:color w:val="000000"/>
          <w:szCs w:val="24"/>
        </w:rPr>
        <w:t xml:space="preserve">, with only Rs 8 million representing about </w:t>
      </w:r>
      <w:r w:rsidRPr="00EF0C5B">
        <w:rPr>
          <w:rFonts w:eastAsia="Times New Roman"/>
          <w:color w:val="000000"/>
          <w:szCs w:val="24"/>
        </w:rPr>
        <w:t xml:space="preserve">4.8 per cent of </w:t>
      </w:r>
      <w:r>
        <w:rPr>
          <w:rFonts w:eastAsia="Times New Roman"/>
          <w:color w:val="000000"/>
          <w:szCs w:val="24"/>
        </w:rPr>
        <w:t xml:space="preserve">the </w:t>
      </w:r>
      <w:r w:rsidRPr="00EF0C5B">
        <w:rPr>
          <w:rFonts w:eastAsia="Times New Roman"/>
          <w:color w:val="000000"/>
          <w:szCs w:val="24"/>
        </w:rPr>
        <w:t xml:space="preserve">Rs 167 million due at 30 June 2016 </w:t>
      </w:r>
      <w:r>
        <w:rPr>
          <w:rFonts w:eastAsia="Times New Roman"/>
          <w:color w:val="000000"/>
          <w:szCs w:val="24"/>
        </w:rPr>
        <w:t>having been</w:t>
      </w:r>
      <w:r w:rsidRPr="00EF0C5B">
        <w:rPr>
          <w:rFonts w:eastAsia="Times New Roman"/>
          <w:color w:val="000000"/>
          <w:szCs w:val="24"/>
        </w:rPr>
        <w:t xml:space="preserve"> recovered during the ensuing financial year ended 30 June 2017.</w:t>
      </w:r>
      <w:r>
        <w:rPr>
          <w:rFonts w:eastAsia="Times New Roman"/>
          <w:color w:val="000000"/>
          <w:szCs w:val="24"/>
        </w:rPr>
        <w:t xml:space="preserve"> Further, the rate of recovery for each of the past five periods ranged between 4.8 and 11 per cent of the total arrears.</w:t>
      </w:r>
    </w:p>
    <w:p w:rsidR="00357368" w:rsidRPr="00EF0C5B" w:rsidRDefault="00DE09C2" w:rsidP="00357368">
      <w:pPr>
        <w:spacing w:after="0" w:line="240" w:lineRule="auto"/>
        <w:jc w:val="both"/>
        <w:rPr>
          <w:rFonts w:eastAsia="Times New Roman"/>
          <w:b/>
          <w:i/>
          <w:szCs w:val="24"/>
        </w:rPr>
      </w:pPr>
      <w:r>
        <w:rPr>
          <w:rFonts w:eastAsia="Times New Roman"/>
          <w:b/>
          <w:i/>
          <w:szCs w:val="24"/>
        </w:rPr>
        <w:lastRenderedPageBreak/>
        <w:t>6.11</w:t>
      </w:r>
      <w:r w:rsidR="00517580">
        <w:rPr>
          <w:rFonts w:eastAsia="Times New Roman"/>
          <w:b/>
          <w:i/>
          <w:szCs w:val="24"/>
        </w:rPr>
        <w:t>.1</w:t>
      </w:r>
      <w:r w:rsidR="00517580">
        <w:rPr>
          <w:rFonts w:eastAsia="Times New Roman"/>
          <w:b/>
          <w:i/>
          <w:szCs w:val="24"/>
        </w:rPr>
        <w:tab/>
      </w:r>
      <w:r w:rsidR="00357368" w:rsidRPr="00EF0C5B">
        <w:rPr>
          <w:rFonts w:eastAsia="Times New Roman"/>
          <w:b/>
          <w:i/>
          <w:szCs w:val="24"/>
        </w:rPr>
        <w:t>Debt Recovery System</w:t>
      </w:r>
    </w:p>
    <w:p w:rsidR="00357368" w:rsidRPr="00EF0C5B" w:rsidRDefault="00357368" w:rsidP="00357368">
      <w:pPr>
        <w:spacing w:after="0" w:line="240" w:lineRule="auto"/>
        <w:jc w:val="both"/>
        <w:rPr>
          <w:rFonts w:eastAsia="Times New Roman"/>
          <w:b/>
          <w:szCs w:val="24"/>
        </w:rPr>
      </w:pPr>
    </w:p>
    <w:p w:rsidR="00357368" w:rsidRDefault="00357368" w:rsidP="00357368">
      <w:pPr>
        <w:spacing w:after="0" w:line="240" w:lineRule="auto"/>
        <w:jc w:val="both"/>
        <w:rPr>
          <w:rFonts w:eastAsia="Times New Roman"/>
          <w:szCs w:val="24"/>
        </w:rPr>
      </w:pPr>
      <w:r>
        <w:rPr>
          <w:rFonts w:eastAsia="Times New Roman"/>
          <w:szCs w:val="24"/>
        </w:rPr>
        <w:t>At p</w:t>
      </w:r>
      <w:r w:rsidRPr="00EF0C5B">
        <w:rPr>
          <w:rFonts w:eastAsia="Times New Roman"/>
          <w:szCs w:val="24"/>
        </w:rPr>
        <w:t xml:space="preserve">aragraph 7.9.1 of </w:t>
      </w:r>
      <w:r>
        <w:rPr>
          <w:rFonts w:eastAsia="Times New Roman"/>
          <w:szCs w:val="24"/>
        </w:rPr>
        <w:t xml:space="preserve">the </w:t>
      </w:r>
      <w:r w:rsidRPr="00EF0C5B">
        <w:rPr>
          <w:rFonts w:eastAsia="Times New Roman"/>
          <w:szCs w:val="24"/>
        </w:rPr>
        <w:t>Audit Report for the 18-month period 1 January 2015 to 30 June 2016</w:t>
      </w:r>
      <w:r>
        <w:rPr>
          <w:rFonts w:eastAsia="Times New Roman"/>
          <w:szCs w:val="24"/>
        </w:rPr>
        <w:t>,</w:t>
      </w:r>
      <w:r w:rsidRPr="00EF0C5B">
        <w:rPr>
          <w:rFonts w:eastAsia="Times New Roman"/>
          <w:szCs w:val="24"/>
        </w:rPr>
        <w:t xml:space="preserve"> mention</w:t>
      </w:r>
      <w:r>
        <w:rPr>
          <w:rFonts w:eastAsia="Times New Roman"/>
          <w:szCs w:val="24"/>
        </w:rPr>
        <w:t xml:space="preserve"> was</w:t>
      </w:r>
      <w:r w:rsidRPr="00EF0C5B">
        <w:rPr>
          <w:rFonts w:eastAsia="Times New Roman"/>
          <w:szCs w:val="24"/>
        </w:rPr>
        <w:t xml:space="preserve"> made that the measures, that is issue of reminders prior to compounding of offences, to recover the arrears seemed inadequate and ineffective given the large sum of debts being written off and</w:t>
      </w:r>
      <w:r w:rsidRPr="00F614B2">
        <w:rPr>
          <w:rFonts w:eastAsia="Times New Roman"/>
          <w:szCs w:val="24"/>
        </w:rPr>
        <w:t xml:space="preserve"> </w:t>
      </w:r>
      <w:r w:rsidRPr="00EF0C5B">
        <w:rPr>
          <w:rFonts w:eastAsia="Times New Roman"/>
          <w:szCs w:val="24"/>
        </w:rPr>
        <w:t xml:space="preserve">the low </w:t>
      </w:r>
      <w:r>
        <w:rPr>
          <w:rFonts w:eastAsia="Times New Roman"/>
          <w:szCs w:val="24"/>
        </w:rPr>
        <w:t>rate</w:t>
      </w:r>
      <w:r w:rsidRPr="00EF0C5B">
        <w:rPr>
          <w:rFonts w:eastAsia="Times New Roman"/>
          <w:szCs w:val="24"/>
        </w:rPr>
        <w:t xml:space="preserve"> of recovery</w:t>
      </w:r>
      <w:r>
        <w:rPr>
          <w:rFonts w:eastAsia="Times New Roman"/>
          <w:szCs w:val="24"/>
        </w:rPr>
        <w:t xml:space="preserve"> </w:t>
      </w:r>
      <w:r w:rsidRPr="00D8189C">
        <w:rPr>
          <w:rFonts w:eastAsia="Times New Roman"/>
          <w:szCs w:val="24"/>
        </w:rPr>
        <w:t xml:space="preserve">of the long outstanding </w:t>
      </w:r>
      <w:r>
        <w:rPr>
          <w:rFonts w:eastAsia="Times New Roman"/>
          <w:szCs w:val="24"/>
        </w:rPr>
        <w:t>debts</w:t>
      </w:r>
      <w:r w:rsidRPr="00EF0C5B">
        <w:rPr>
          <w:rFonts w:eastAsia="Times New Roman"/>
          <w:szCs w:val="24"/>
        </w:rPr>
        <w:t>.</w:t>
      </w:r>
      <w:r>
        <w:rPr>
          <w:rFonts w:eastAsia="Times New Roman"/>
          <w:szCs w:val="24"/>
        </w:rPr>
        <w:t xml:space="preserve"> For 2016-17, the Department has not yet implemented other measures for recovery of the outstanding arrears.</w:t>
      </w:r>
    </w:p>
    <w:p w:rsidR="00357368" w:rsidRDefault="00357368" w:rsidP="00357368">
      <w:pPr>
        <w:spacing w:after="0" w:line="240" w:lineRule="auto"/>
        <w:jc w:val="both"/>
        <w:rPr>
          <w:rFonts w:eastAsia="Times New Roman"/>
          <w:szCs w:val="24"/>
        </w:rPr>
      </w:pPr>
      <w:r>
        <w:rPr>
          <w:rFonts w:eastAsia="Times New Roman"/>
          <w:szCs w:val="24"/>
        </w:rPr>
        <w:t xml:space="preserve"> </w:t>
      </w:r>
    </w:p>
    <w:p w:rsidR="00357368" w:rsidRDefault="00357368" w:rsidP="00357368">
      <w:pPr>
        <w:spacing w:after="0" w:line="240" w:lineRule="auto"/>
        <w:jc w:val="both"/>
        <w:rPr>
          <w:rFonts w:eastAsia="Times New Roman"/>
          <w:strike/>
          <w:szCs w:val="24"/>
          <w:highlight w:val="yellow"/>
        </w:rPr>
      </w:pPr>
      <w:r>
        <w:rPr>
          <w:rFonts w:eastAsia="Times New Roman"/>
          <w:szCs w:val="24"/>
        </w:rPr>
        <w:t>Further, the deadline for payment of registration fees for 2017 was 20 January 2017. I</w:t>
      </w:r>
      <w:r w:rsidRPr="00EF0C5B">
        <w:rPr>
          <w:rFonts w:eastAsia="Times New Roman"/>
          <w:szCs w:val="24"/>
        </w:rPr>
        <w:t>n March and April 2017</w:t>
      </w:r>
      <w:r>
        <w:rPr>
          <w:rFonts w:eastAsia="Times New Roman"/>
          <w:szCs w:val="24"/>
        </w:rPr>
        <w:t>,</w:t>
      </w:r>
      <w:r w:rsidRPr="00EF0C5B">
        <w:rPr>
          <w:rFonts w:eastAsia="Times New Roman"/>
          <w:szCs w:val="24"/>
        </w:rPr>
        <w:t xml:space="preserve"> </w:t>
      </w:r>
      <w:r>
        <w:rPr>
          <w:rFonts w:eastAsia="Times New Roman"/>
          <w:szCs w:val="24"/>
        </w:rPr>
        <w:t>r</w:t>
      </w:r>
      <w:r w:rsidRPr="00EF0C5B">
        <w:rPr>
          <w:rFonts w:eastAsia="Times New Roman"/>
          <w:szCs w:val="24"/>
        </w:rPr>
        <w:t>eminders were sent to companies</w:t>
      </w:r>
      <w:r>
        <w:rPr>
          <w:rFonts w:eastAsia="Times New Roman"/>
          <w:szCs w:val="24"/>
        </w:rPr>
        <w:t>,</w:t>
      </w:r>
      <w:r w:rsidRPr="00EF0C5B">
        <w:rPr>
          <w:rFonts w:eastAsia="Times New Roman"/>
          <w:szCs w:val="24"/>
        </w:rPr>
        <w:t xml:space="preserve"> wh</w:t>
      </w:r>
      <w:r>
        <w:rPr>
          <w:rFonts w:eastAsia="Times New Roman"/>
          <w:szCs w:val="24"/>
        </w:rPr>
        <w:t>ich had</w:t>
      </w:r>
      <w:r w:rsidRPr="00EF0C5B">
        <w:rPr>
          <w:rFonts w:eastAsia="Times New Roman"/>
          <w:szCs w:val="24"/>
        </w:rPr>
        <w:t xml:space="preserve"> failed to pay registration fees for 2017</w:t>
      </w:r>
      <w:r>
        <w:rPr>
          <w:rFonts w:eastAsia="Times New Roman"/>
          <w:szCs w:val="24"/>
        </w:rPr>
        <w:t>. Thereafter, c</w:t>
      </w:r>
      <w:r w:rsidRPr="00EF0C5B">
        <w:rPr>
          <w:rFonts w:eastAsia="Times New Roman"/>
          <w:szCs w:val="24"/>
        </w:rPr>
        <w:t>ompounding exercise was</w:t>
      </w:r>
      <w:r>
        <w:rPr>
          <w:rFonts w:eastAsia="Times New Roman"/>
          <w:szCs w:val="24"/>
        </w:rPr>
        <w:t xml:space="preserve"> </w:t>
      </w:r>
      <w:r w:rsidRPr="00EF0C5B">
        <w:rPr>
          <w:rFonts w:eastAsia="Times New Roman"/>
          <w:szCs w:val="24"/>
        </w:rPr>
        <w:t>carried out</w:t>
      </w:r>
      <w:r>
        <w:rPr>
          <w:rFonts w:eastAsia="Times New Roman"/>
          <w:szCs w:val="24"/>
        </w:rPr>
        <w:t xml:space="preserve"> with those companies, which still defaulted</w:t>
      </w:r>
      <w:r w:rsidRPr="00EF0C5B">
        <w:rPr>
          <w:rFonts w:eastAsia="Times New Roman"/>
          <w:szCs w:val="24"/>
        </w:rPr>
        <w:t>.</w:t>
      </w:r>
      <w:r w:rsidR="00D67A2B">
        <w:rPr>
          <w:rFonts w:eastAsia="Times New Roman"/>
          <w:szCs w:val="24"/>
        </w:rPr>
        <w:t xml:space="preserve"> </w:t>
      </w:r>
      <w:r>
        <w:rPr>
          <w:rFonts w:eastAsia="Times New Roman"/>
          <w:szCs w:val="24"/>
        </w:rPr>
        <w:t xml:space="preserve">As at </w:t>
      </w:r>
      <w:r w:rsidRPr="00CA0100">
        <w:rPr>
          <w:rFonts w:eastAsia="Times New Roman"/>
          <w:szCs w:val="24"/>
        </w:rPr>
        <w:t>October 2017</w:t>
      </w:r>
      <w:r>
        <w:rPr>
          <w:rFonts w:eastAsia="Times New Roman"/>
          <w:szCs w:val="24"/>
        </w:rPr>
        <w:t>, s</w:t>
      </w:r>
      <w:r w:rsidRPr="00EF0C5B">
        <w:rPr>
          <w:rFonts w:eastAsia="Times New Roman"/>
          <w:szCs w:val="24"/>
        </w:rPr>
        <w:t>ome 2</w:t>
      </w:r>
      <w:r>
        <w:rPr>
          <w:rFonts w:eastAsia="Times New Roman"/>
          <w:szCs w:val="24"/>
        </w:rPr>
        <w:t>,</w:t>
      </w:r>
      <w:r w:rsidRPr="00EF0C5B">
        <w:rPr>
          <w:rFonts w:eastAsia="Times New Roman"/>
          <w:szCs w:val="24"/>
        </w:rPr>
        <w:t xml:space="preserve">000 companies with outstanding </w:t>
      </w:r>
      <w:r>
        <w:rPr>
          <w:rFonts w:eastAsia="Times New Roman"/>
          <w:szCs w:val="24"/>
        </w:rPr>
        <w:t xml:space="preserve">fees </w:t>
      </w:r>
      <w:proofErr w:type="spellStart"/>
      <w:r>
        <w:rPr>
          <w:rFonts w:eastAsia="Times New Roman"/>
          <w:szCs w:val="24"/>
        </w:rPr>
        <w:t>totalling</w:t>
      </w:r>
      <w:proofErr w:type="spellEnd"/>
      <w:r w:rsidRPr="00EF0C5B">
        <w:rPr>
          <w:rFonts w:eastAsia="Times New Roman"/>
          <w:szCs w:val="24"/>
        </w:rPr>
        <w:t xml:space="preserve"> Rs 5,747,450 </w:t>
      </w:r>
      <w:r>
        <w:rPr>
          <w:rFonts w:eastAsia="Times New Roman"/>
          <w:szCs w:val="24"/>
        </w:rPr>
        <w:t>had</w:t>
      </w:r>
      <w:r w:rsidRPr="00EF0C5B">
        <w:rPr>
          <w:rFonts w:eastAsia="Times New Roman"/>
          <w:szCs w:val="24"/>
        </w:rPr>
        <w:t xml:space="preserve"> not respond</w:t>
      </w:r>
      <w:r>
        <w:rPr>
          <w:rFonts w:eastAsia="Times New Roman"/>
          <w:szCs w:val="24"/>
        </w:rPr>
        <w:t>ed</w:t>
      </w:r>
      <w:r w:rsidRPr="00EF0C5B">
        <w:rPr>
          <w:rFonts w:eastAsia="Times New Roman"/>
          <w:szCs w:val="24"/>
        </w:rPr>
        <w:t xml:space="preserve"> to th</w:t>
      </w:r>
      <w:r>
        <w:rPr>
          <w:rFonts w:eastAsia="Times New Roman"/>
          <w:szCs w:val="24"/>
        </w:rPr>
        <w:t>is compounding</w:t>
      </w:r>
      <w:r w:rsidRPr="00EF0C5B">
        <w:rPr>
          <w:rFonts w:eastAsia="Times New Roman"/>
          <w:szCs w:val="24"/>
        </w:rPr>
        <w:t xml:space="preserve"> exercise</w:t>
      </w:r>
      <w:r>
        <w:rPr>
          <w:rFonts w:eastAsia="Times New Roman"/>
          <w:szCs w:val="24"/>
        </w:rPr>
        <w:t>,</w:t>
      </w:r>
      <w:r w:rsidRPr="00EF0C5B">
        <w:rPr>
          <w:rFonts w:eastAsia="Times New Roman"/>
          <w:szCs w:val="24"/>
        </w:rPr>
        <w:t xml:space="preserve"> </w:t>
      </w:r>
      <w:r>
        <w:rPr>
          <w:rFonts w:eastAsia="Times New Roman"/>
          <w:szCs w:val="24"/>
        </w:rPr>
        <w:t xml:space="preserve">and </w:t>
      </w:r>
      <w:r w:rsidRPr="005C1EAC">
        <w:rPr>
          <w:rFonts w:eastAsia="Times New Roman"/>
          <w:szCs w:val="24"/>
        </w:rPr>
        <w:t>would be removed from list of operating companies</w:t>
      </w:r>
      <w:r w:rsidRPr="00EF0C5B">
        <w:rPr>
          <w:rFonts w:eastAsia="Times New Roman"/>
          <w:szCs w:val="24"/>
        </w:rPr>
        <w:t>.</w:t>
      </w:r>
      <w:r>
        <w:rPr>
          <w:rFonts w:eastAsia="Times New Roman"/>
          <w:szCs w:val="24"/>
        </w:rPr>
        <w:t xml:space="preserve"> </w:t>
      </w:r>
    </w:p>
    <w:p w:rsidR="006D14DB" w:rsidRDefault="006D14DB" w:rsidP="00D6786A">
      <w:pPr>
        <w:spacing w:after="0" w:line="240" w:lineRule="auto"/>
        <w:rPr>
          <w:rFonts w:eastAsia="Times New Roman"/>
          <w:b/>
          <w:i/>
          <w:color w:val="000000"/>
          <w:szCs w:val="24"/>
        </w:rPr>
      </w:pPr>
    </w:p>
    <w:p w:rsidR="00357368" w:rsidRPr="00EF0C5B" w:rsidRDefault="00DE09C2" w:rsidP="00357368">
      <w:pPr>
        <w:spacing w:after="0" w:line="240" w:lineRule="auto"/>
        <w:jc w:val="both"/>
        <w:rPr>
          <w:rFonts w:eastAsia="Times New Roman"/>
          <w:b/>
          <w:color w:val="000000"/>
          <w:szCs w:val="24"/>
        </w:rPr>
      </w:pPr>
      <w:r>
        <w:rPr>
          <w:rFonts w:eastAsia="Times New Roman"/>
          <w:b/>
          <w:i/>
          <w:color w:val="000000"/>
          <w:szCs w:val="24"/>
        </w:rPr>
        <w:t>6.11</w:t>
      </w:r>
      <w:r w:rsidR="00517580">
        <w:rPr>
          <w:rFonts w:eastAsia="Times New Roman"/>
          <w:b/>
          <w:i/>
          <w:color w:val="000000"/>
          <w:szCs w:val="24"/>
        </w:rPr>
        <w:t>.2</w:t>
      </w:r>
      <w:r w:rsidR="00517580">
        <w:rPr>
          <w:rFonts w:eastAsia="Times New Roman"/>
          <w:b/>
          <w:i/>
          <w:color w:val="000000"/>
          <w:szCs w:val="24"/>
        </w:rPr>
        <w:tab/>
      </w:r>
      <w:r w:rsidR="00357368" w:rsidRPr="00EF0C5B">
        <w:rPr>
          <w:rFonts w:eastAsia="Times New Roman"/>
          <w:b/>
          <w:i/>
          <w:color w:val="000000"/>
          <w:szCs w:val="24"/>
        </w:rPr>
        <w:t>Age List of Debtors</w:t>
      </w:r>
    </w:p>
    <w:p w:rsidR="00357368" w:rsidRPr="00EF0C5B" w:rsidRDefault="00357368" w:rsidP="00357368">
      <w:pPr>
        <w:spacing w:after="0" w:line="240" w:lineRule="auto"/>
        <w:jc w:val="both"/>
        <w:rPr>
          <w:rFonts w:eastAsia="Times New Roman"/>
          <w:b/>
          <w:color w:val="000000"/>
          <w:szCs w:val="24"/>
        </w:rPr>
      </w:pPr>
    </w:p>
    <w:p w:rsidR="00357368" w:rsidRDefault="00357368" w:rsidP="00357368">
      <w:pPr>
        <w:spacing w:after="0" w:line="240" w:lineRule="auto"/>
        <w:jc w:val="both"/>
        <w:rPr>
          <w:rFonts w:eastAsia="Times New Roman"/>
          <w:color w:val="000000"/>
          <w:szCs w:val="24"/>
        </w:rPr>
      </w:pPr>
      <w:r w:rsidRPr="00EF0C5B">
        <w:rPr>
          <w:rFonts w:eastAsia="Times New Roman"/>
          <w:color w:val="000000"/>
          <w:szCs w:val="24"/>
        </w:rPr>
        <w:t>An analysis of the arrears of Rs 134 million as at 30 June 2017 is given in Table</w:t>
      </w:r>
      <w:r w:rsidR="009B3218">
        <w:rPr>
          <w:rFonts w:eastAsia="Times New Roman"/>
          <w:color w:val="000000"/>
          <w:szCs w:val="24"/>
        </w:rPr>
        <w:t xml:space="preserve"> 6-1</w:t>
      </w:r>
      <w:r w:rsidR="00CA4A50">
        <w:rPr>
          <w:rFonts w:eastAsia="Times New Roman"/>
          <w:color w:val="000000"/>
          <w:szCs w:val="24"/>
        </w:rPr>
        <w:t>7</w:t>
      </w:r>
      <w:r w:rsidRPr="00EF0C5B">
        <w:rPr>
          <w:rFonts w:eastAsia="Times New Roman"/>
          <w:color w:val="000000"/>
          <w:szCs w:val="24"/>
        </w:rPr>
        <w:t>.</w:t>
      </w:r>
    </w:p>
    <w:p w:rsidR="00357368" w:rsidRDefault="00357368" w:rsidP="00357368">
      <w:pPr>
        <w:spacing w:after="0" w:line="240" w:lineRule="auto"/>
        <w:jc w:val="both"/>
        <w:rPr>
          <w:rFonts w:eastAsia="Times New Roman"/>
          <w:color w:val="000000"/>
          <w:szCs w:val="24"/>
        </w:rPr>
      </w:pPr>
    </w:p>
    <w:p w:rsidR="00357368" w:rsidRDefault="009B3218" w:rsidP="00357368">
      <w:pPr>
        <w:spacing w:after="0" w:line="240" w:lineRule="auto"/>
        <w:jc w:val="center"/>
        <w:rPr>
          <w:rFonts w:eastAsia="Times New Roman"/>
          <w:i/>
          <w:color w:val="000000"/>
          <w:szCs w:val="24"/>
        </w:rPr>
      </w:pPr>
      <w:r>
        <w:rPr>
          <w:rFonts w:eastAsia="Times New Roman"/>
          <w:i/>
          <w:color w:val="000000"/>
          <w:szCs w:val="24"/>
        </w:rPr>
        <w:t xml:space="preserve">Table </w:t>
      </w:r>
      <w:bookmarkStart w:id="18" w:name="_Hlk507250377"/>
      <w:r>
        <w:rPr>
          <w:rFonts w:eastAsia="Times New Roman"/>
          <w:i/>
          <w:color w:val="000000"/>
          <w:szCs w:val="24"/>
        </w:rPr>
        <w:t>6-</w:t>
      </w:r>
      <w:proofErr w:type="gramStart"/>
      <w:r>
        <w:rPr>
          <w:rFonts w:eastAsia="Times New Roman"/>
          <w:i/>
          <w:color w:val="000000"/>
          <w:szCs w:val="24"/>
        </w:rPr>
        <w:t>1</w:t>
      </w:r>
      <w:r w:rsidR="00CA4A50">
        <w:rPr>
          <w:rFonts w:eastAsia="Times New Roman"/>
          <w:i/>
          <w:color w:val="000000"/>
          <w:szCs w:val="24"/>
        </w:rPr>
        <w:t>7</w:t>
      </w:r>
      <w:r w:rsidR="00D67A2B">
        <w:rPr>
          <w:rFonts w:eastAsia="Times New Roman"/>
          <w:i/>
          <w:color w:val="000000"/>
          <w:szCs w:val="24"/>
        </w:rPr>
        <w:t xml:space="preserve">  </w:t>
      </w:r>
      <w:r w:rsidR="00357368" w:rsidRPr="00EF0C5B">
        <w:rPr>
          <w:rFonts w:eastAsia="Times New Roman"/>
          <w:i/>
          <w:color w:val="000000"/>
          <w:szCs w:val="24"/>
        </w:rPr>
        <w:t>Analysis</w:t>
      </w:r>
      <w:proofErr w:type="gramEnd"/>
      <w:r w:rsidR="00357368" w:rsidRPr="00EF0C5B">
        <w:rPr>
          <w:rFonts w:eastAsia="Times New Roman"/>
          <w:i/>
          <w:color w:val="000000"/>
          <w:szCs w:val="24"/>
        </w:rPr>
        <w:t xml:space="preserve"> of Debtors</w:t>
      </w:r>
    </w:p>
    <w:bookmarkEnd w:id="18"/>
    <w:p w:rsidR="00357368" w:rsidRDefault="00357368" w:rsidP="00357368">
      <w:pPr>
        <w:spacing w:after="0" w:line="240" w:lineRule="auto"/>
        <w:rPr>
          <w:rFonts w:eastAsia="Times New Roman"/>
          <w:szCs w:val="24"/>
        </w:rPr>
      </w:pPr>
    </w:p>
    <w:p w:rsidR="006D14DB" w:rsidRDefault="006D14DB" w:rsidP="006D14DB">
      <w:pPr>
        <w:pBdr>
          <w:top w:val="single" w:sz="4" w:space="1" w:color="auto"/>
        </w:pBdr>
        <w:spacing w:after="0" w:line="240" w:lineRule="auto"/>
        <w:rPr>
          <w:rFonts w:eastAsia="Times New Roman"/>
          <w:szCs w:val="24"/>
        </w:rPr>
      </w:pPr>
    </w:p>
    <w:tbl>
      <w:tblPr>
        <w:tblW w:w="0" w:type="auto"/>
        <w:jc w:val="center"/>
        <w:tblCellMar>
          <w:left w:w="10" w:type="dxa"/>
          <w:right w:w="10" w:type="dxa"/>
        </w:tblCellMar>
        <w:tblLook w:val="0000" w:firstRow="0" w:lastRow="0" w:firstColumn="0" w:lastColumn="0" w:noHBand="0" w:noVBand="0"/>
      </w:tblPr>
      <w:tblGrid>
        <w:gridCol w:w="2200"/>
        <w:gridCol w:w="1290"/>
        <w:gridCol w:w="1290"/>
        <w:gridCol w:w="1290"/>
      </w:tblGrid>
      <w:tr w:rsidR="00357368" w:rsidRPr="00EF0C5B" w:rsidTr="00B272D7">
        <w:trPr>
          <w:trHeight w:val="360"/>
          <w:jc w:val="center"/>
        </w:trPr>
        <w:tc>
          <w:tcPr>
            <w:tcW w:w="2200" w:type="dxa"/>
            <w:vMerge w:val="restart"/>
            <w:shd w:val="clear" w:color="000000" w:fill="FFFFFF"/>
            <w:tcMar>
              <w:left w:w="104" w:type="dxa"/>
              <w:bottom w:w="142" w:type="dxa"/>
              <w:right w:w="104" w:type="dxa"/>
            </w:tcMar>
          </w:tcPr>
          <w:p w:rsidR="00357368" w:rsidRPr="004D4188" w:rsidRDefault="00357368" w:rsidP="00DE55AE">
            <w:pPr>
              <w:spacing w:before="120" w:after="0" w:line="240" w:lineRule="auto"/>
              <w:rPr>
                <w:rFonts w:eastAsia="Times New Roman"/>
                <w:szCs w:val="24"/>
              </w:rPr>
            </w:pPr>
            <w:r w:rsidRPr="00EF0C5B">
              <w:rPr>
                <w:rFonts w:eastAsia="Times New Roman"/>
                <w:b/>
                <w:color w:val="000000"/>
                <w:szCs w:val="24"/>
              </w:rPr>
              <w:t>Financial Period</w:t>
            </w:r>
          </w:p>
        </w:tc>
        <w:tc>
          <w:tcPr>
            <w:tcW w:w="3870" w:type="dxa"/>
            <w:gridSpan w:val="3"/>
            <w:shd w:val="clear" w:color="000000" w:fill="FFFFFF"/>
            <w:tcMar>
              <w:left w:w="104" w:type="dxa"/>
              <w:bottom w:w="142" w:type="dxa"/>
              <w:right w:w="104" w:type="dxa"/>
            </w:tcMar>
          </w:tcPr>
          <w:p w:rsidR="00357368" w:rsidRPr="004D4188" w:rsidRDefault="00357368" w:rsidP="00517580">
            <w:pPr>
              <w:spacing w:before="120" w:after="0" w:line="240" w:lineRule="auto"/>
              <w:jc w:val="center"/>
              <w:rPr>
                <w:rFonts w:eastAsia="Times New Roman"/>
                <w:b/>
                <w:color w:val="000000"/>
                <w:szCs w:val="24"/>
              </w:rPr>
            </w:pPr>
            <w:r w:rsidRPr="00EF0C5B">
              <w:rPr>
                <w:rFonts w:eastAsia="Times New Roman"/>
                <w:b/>
                <w:color w:val="000000"/>
                <w:szCs w:val="24"/>
              </w:rPr>
              <w:t>Amount Outstanding (Rs m)</w:t>
            </w:r>
          </w:p>
        </w:tc>
      </w:tr>
      <w:tr w:rsidR="00357368" w:rsidRPr="00EF0C5B" w:rsidTr="00B272D7">
        <w:trPr>
          <w:trHeight w:val="360"/>
          <w:jc w:val="center"/>
        </w:trPr>
        <w:tc>
          <w:tcPr>
            <w:tcW w:w="2200" w:type="dxa"/>
            <w:vMerge/>
            <w:shd w:val="clear" w:color="000000" w:fill="FFFFFF"/>
            <w:tcMar>
              <w:left w:w="104" w:type="dxa"/>
              <w:bottom w:w="142" w:type="dxa"/>
              <w:right w:w="104" w:type="dxa"/>
            </w:tcMar>
          </w:tcPr>
          <w:p w:rsidR="00357368" w:rsidRPr="00EF0C5B" w:rsidRDefault="00357368" w:rsidP="00DE55AE">
            <w:pPr>
              <w:spacing w:after="0" w:line="240" w:lineRule="auto"/>
              <w:rPr>
                <w:szCs w:val="24"/>
              </w:rPr>
            </w:pP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jc w:val="center"/>
              <w:rPr>
                <w:szCs w:val="24"/>
              </w:rPr>
            </w:pPr>
            <w:r w:rsidRPr="00EF0C5B">
              <w:rPr>
                <w:rFonts w:eastAsia="Times New Roman"/>
                <w:b/>
                <w:color w:val="000000"/>
                <w:szCs w:val="24"/>
              </w:rPr>
              <w:t>Fees</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jc w:val="center"/>
              <w:rPr>
                <w:szCs w:val="24"/>
              </w:rPr>
            </w:pPr>
            <w:r w:rsidRPr="00EF0C5B">
              <w:rPr>
                <w:rFonts w:eastAsia="Times New Roman"/>
                <w:b/>
                <w:color w:val="000000"/>
                <w:szCs w:val="24"/>
              </w:rPr>
              <w:t>Fines</w:t>
            </w:r>
          </w:p>
        </w:tc>
        <w:tc>
          <w:tcPr>
            <w:tcW w:w="1290" w:type="dxa"/>
            <w:shd w:val="clear" w:color="000000" w:fill="FFFFFF"/>
            <w:tcMar>
              <w:left w:w="104" w:type="dxa"/>
              <w:bottom w:w="142" w:type="dxa"/>
              <w:right w:w="104" w:type="dxa"/>
            </w:tcMar>
          </w:tcPr>
          <w:p w:rsidR="00357368" w:rsidRPr="004D4188" w:rsidRDefault="00357368" w:rsidP="00517580">
            <w:pPr>
              <w:spacing w:after="0" w:line="240" w:lineRule="auto"/>
              <w:jc w:val="center"/>
              <w:rPr>
                <w:rFonts w:eastAsia="Times New Roman"/>
                <w:b/>
                <w:color w:val="000000"/>
                <w:szCs w:val="24"/>
              </w:rPr>
            </w:pPr>
            <w:r w:rsidRPr="00EF0C5B">
              <w:rPr>
                <w:rFonts w:eastAsia="Times New Roman"/>
                <w:b/>
                <w:color w:val="000000"/>
                <w:szCs w:val="24"/>
              </w:rPr>
              <w:t>Total</w:t>
            </w:r>
          </w:p>
        </w:tc>
      </w:tr>
      <w:tr w:rsidR="00357368" w:rsidRPr="00EF0C5B" w:rsidTr="00B272D7">
        <w:trPr>
          <w:trHeight w:val="360"/>
          <w:jc w:val="center"/>
        </w:trPr>
        <w:tc>
          <w:tcPr>
            <w:tcW w:w="2200" w:type="dxa"/>
            <w:shd w:val="clear" w:color="000000" w:fill="FFFFFF"/>
            <w:tcMar>
              <w:left w:w="104" w:type="dxa"/>
              <w:bottom w:w="142" w:type="dxa"/>
              <w:right w:w="104" w:type="dxa"/>
            </w:tcMar>
          </w:tcPr>
          <w:p w:rsidR="00357368" w:rsidRPr="00EF0C5B" w:rsidRDefault="00357368" w:rsidP="00DE55AE">
            <w:pPr>
              <w:spacing w:after="0" w:line="240" w:lineRule="auto"/>
              <w:rPr>
                <w:szCs w:val="24"/>
              </w:rPr>
            </w:pPr>
            <w:r w:rsidRPr="00EF0C5B">
              <w:rPr>
                <w:rFonts w:eastAsia="Times New Roman"/>
                <w:color w:val="000000"/>
                <w:szCs w:val="24"/>
              </w:rPr>
              <w:t>Up to Dec 2013</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62"/>
              <w:jc w:val="right"/>
              <w:rPr>
                <w:szCs w:val="24"/>
              </w:rPr>
            </w:pPr>
            <w:r w:rsidRPr="00EF0C5B">
              <w:rPr>
                <w:rFonts w:eastAsia="Times New Roman"/>
                <w:color w:val="000000"/>
                <w:szCs w:val="24"/>
              </w:rPr>
              <w:t>52.1</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15"/>
              <w:jc w:val="right"/>
              <w:rPr>
                <w:szCs w:val="24"/>
              </w:rPr>
            </w:pPr>
            <w:r w:rsidRPr="00EF0C5B">
              <w:rPr>
                <w:rFonts w:eastAsia="Times New Roman"/>
                <w:color w:val="000000"/>
                <w:szCs w:val="24"/>
              </w:rPr>
              <w:t>22.0</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45"/>
              <w:jc w:val="right"/>
              <w:rPr>
                <w:szCs w:val="24"/>
              </w:rPr>
            </w:pPr>
            <w:r w:rsidRPr="00EF0C5B">
              <w:rPr>
                <w:rFonts w:eastAsia="Times New Roman"/>
                <w:color w:val="000000"/>
                <w:szCs w:val="24"/>
              </w:rPr>
              <w:t>74.1</w:t>
            </w:r>
          </w:p>
        </w:tc>
      </w:tr>
      <w:tr w:rsidR="00357368" w:rsidRPr="00EF0C5B" w:rsidTr="00B272D7">
        <w:trPr>
          <w:trHeight w:val="360"/>
          <w:jc w:val="center"/>
        </w:trPr>
        <w:tc>
          <w:tcPr>
            <w:tcW w:w="2200" w:type="dxa"/>
            <w:shd w:val="clear" w:color="000000" w:fill="FFFFFF"/>
            <w:tcMar>
              <w:left w:w="104" w:type="dxa"/>
              <w:bottom w:w="142" w:type="dxa"/>
              <w:right w:w="104" w:type="dxa"/>
            </w:tcMar>
          </w:tcPr>
          <w:p w:rsidR="00357368" w:rsidRPr="00EF0C5B" w:rsidRDefault="00357368" w:rsidP="00DE55AE">
            <w:pPr>
              <w:spacing w:after="0" w:line="240" w:lineRule="auto"/>
              <w:rPr>
                <w:szCs w:val="24"/>
              </w:rPr>
            </w:pPr>
            <w:r w:rsidRPr="00EF0C5B">
              <w:rPr>
                <w:rFonts w:eastAsia="Times New Roman"/>
                <w:color w:val="000000"/>
                <w:szCs w:val="24"/>
              </w:rPr>
              <w:t>Jan-Dec 2014</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62"/>
              <w:jc w:val="right"/>
              <w:rPr>
                <w:szCs w:val="24"/>
              </w:rPr>
            </w:pPr>
            <w:r w:rsidRPr="00EF0C5B">
              <w:rPr>
                <w:rFonts w:eastAsia="Times New Roman"/>
                <w:color w:val="000000"/>
                <w:szCs w:val="24"/>
              </w:rPr>
              <w:t>6.6</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15"/>
              <w:jc w:val="right"/>
              <w:rPr>
                <w:szCs w:val="24"/>
              </w:rPr>
            </w:pPr>
            <w:r w:rsidRPr="00EF0C5B">
              <w:rPr>
                <w:rFonts w:eastAsia="Times New Roman"/>
                <w:color w:val="000000"/>
                <w:szCs w:val="24"/>
              </w:rPr>
              <w:t>3.2</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45"/>
              <w:jc w:val="right"/>
              <w:rPr>
                <w:szCs w:val="24"/>
              </w:rPr>
            </w:pPr>
            <w:r w:rsidRPr="00EF0C5B">
              <w:rPr>
                <w:rFonts w:eastAsia="Times New Roman"/>
                <w:color w:val="000000"/>
                <w:szCs w:val="24"/>
              </w:rPr>
              <w:t>9.8</w:t>
            </w:r>
          </w:p>
        </w:tc>
      </w:tr>
      <w:tr w:rsidR="00357368" w:rsidRPr="00EF0C5B" w:rsidTr="00B272D7">
        <w:trPr>
          <w:trHeight w:val="360"/>
          <w:jc w:val="center"/>
        </w:trPr>
        <w:tc>
          <w:tcPr>
            <w:tcW w:w="2200" w:type="dxa"/>
            <w:shd w:val="clear" w:color="000000" w:fill="FFFFFF"/>
            <w:tcMar>
              <w:left w:w="104" w:type="dxa"/>
              <w:bottom w:w="142" w:type="dxa"/>
              <w:right w:w="104" w:type="dxa"/>
            </w:tcMar>
          </w:tcPr>
          <w:p w:rsidR="00357368" w:rsidRPr="00EF0C5B" w:rsidRDefault="00357368" w:rsidP="00DE55AE">
            <w:pPr>
              <w:spacing w:after="0" w:line="240" w:lineRule="auto"/>
              <w:rPr>
                <w:szCs w:val="24"/>
              </w:rPr>
            </w:pPr>
            <w:r w:rsidRPr="00EF0C5B">
              <w:rPr>
                <w:rFonts w:eastAsia="Times New Roman"/>
                <w:color w:val="000000"/>
                <w:szCs w:val="24"/>
              </w:rPr>
              <w:t>Jan-Jun</w:t>
            </w:r>
            <w:r w:rsidR="00D67A2B">
              <w:rPr>
                <w:rFonts w:eastAsia="Times New Roman"/>
                <w:color w:val="000000"/>
                <w:szCs w:val="24"/>
              </w:rPr>
              <w:t xml:space="preserve"> </w:t>
            </w:r>
            <w:r w:rsidRPr="00EF0C5B">
              <w:rPr>
                <w:rFonts w:eastAsia="Times New Roman"/>
                <w:color w:val="000000"/>
                <w:szCs w:val="24"/>
              </w:rPr>
              <w:t>2015</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62"/>
              <w:jc w:val="right"/>
              <w:rPr>
                <w:szCs w:val="24"/>
              </w:rPr>
            </w:pPr>
            <w:r w:rsidRPr="00EF0C5B">
              <w:rPr>
                <w:rFonts w:eastAsia="Times New Roman"/>
                <w:color w:val="000000"/>
                <w:szCs w:val="24"/>
              </w:rPr>
              <w:t>9.6</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15"/>
              <w:jc w:val="right"/>
              <w:rPr>
                <w:szCs w:val="24"/>
              </w:rPr>
            </w:pPr>
            <w:r w:rsidRPr="00EF0C5B">
              <w:rPr>
                <w:rFonts w:eastAsia="Times New Roman"/>
                <w:color w:val="000000"/>
                <w:szCs w:val="24"/>
              </w:rPr>
              <w:t>4.7</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45"/>
              <w:jc w:val="right"/>
              <w:rPr>
                <w:szCs w:val="24"/>
              </w:rPr>
            </w:pPr>
            <w:r w:rsidRPr="00EF0C5B">
              <w:rPr>
                <w:rFonts w:eastAsia="Times New Roman"/>
                <w:color w:val="000000"/>
                <w:szCs w:val="24"/>
              </w:rPr>
              <w:t>14.3</w:t>
            </w:r>
          </w:p>
        </w:tc>
      </w:tr>
      <w:tr w:rsidR="00357368" w:rsidRPr="00EF0C5B" w:rsidTr="00B272D7">
        <w:trPr>
          <w:trHeight w:val="360"/>
          <w:jc w:val="center"/>
        </w:trPr>
        <w:tc>
          <w:tcPr>
            <w:tcW w:w="2200" w:type="dxa"/>
            <w:shd w:val="clear" w:color="000000" w:fill="FFFFFF"/>
            <w:tcMar>
              <w:left w:w="104" w:type="dxa"/>
              <w:bottom w:w="142" w:type="dxa"/>
              <w:right w:w="104" w:type="dxa"/>
            </w:tcMar>
          </w:tcPr>
          <w:p w:rsidR="00357368" w:rsidRPr="00EF0C5B" w:rsidRDefault="00357368" w:rsidP="00DE55AE">
            <w:pPr>
              <w:spacing w:after="0" w:line="240" w:lineRule="auto"/>
              <w:rPr>
                <w:szCs w:val="24"/>
              </w:rPr>
            </w:pPr>
            <w:r w:rsidRPr="00EF0C5B">
              <w:rPr>
                <w:rFonts w:eastAsia="Times New Roman"/>
                <w:color w:val="000000"/>
                <w:szCs w:val="24"/>
              </w:rPr>
              <w:t>Jul</w:t>
            </w:r>
            <w:r>
              <w:rPr>
                <w:rFonts w:eastAsia="Times New Roman"/>
                <w:color w:val="000000"/>
                <w:szCs w:val="24"/>
              </w:rPr>
              <w:t xml:space="preserve"> 2015</w:t>
            </w:r>
            <w:r w:rsidRPr="00EF0C5B">
              <w:rPr>
                <w:rFonts w:eastAsia="Times New Roman"/>
                <w:color w:val="000000"/>
                <w:szCs w:val="24"/>
              </w:rPr>
              <w:t>-Jun</w:t>
            </w:r>
            <w:r w:rsidR="00D67A2B">
              <w:rPr>
                <w:rFonts w:eastAsia="Times New Roman"/>
                <w:color w:val="000000"/>
                <w:szCs w:val="24"/>
              </w:rPr>
              <w:t xml:space="preserve"> </w:t>
            </w:r>
            <w:r w:rsidRPr="00EF0C5B">
              <w:rPr>
                <w:rFonts w:eastAsia="Times New Roman"/>
                <w:color w:val="000000"/>
                <w:szCs w:val="24"/>
              </w:rPr>
              <w:t>2016</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62"/>
              <w:jc w:val="right"/>
              <w:rPr>
                <w:szCs w:val="24"/>
              </w:rPr>
            </w:pPr>
            <w:r w:rsidRPr="00EF0C5B">
              <w:rPr>
                <w:rFonts w:eastAsia="Times New Roman"/>
                <w:color w:val="000000"/>
                <w:szCs w:val="24"/>
              </w:rPr>
              <w:t>9.7</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15"/>
              <w:jc w:val="right"/>
              <w:rPr>
                <w:szCs w:val="24"/>
              </w:rPr>
            </w:pPr>
            <w:r w:rsidRPr="00EF0C5B">
              <w:rPr>
                <w:rFonts w:eastAsia="Times New Roman"/>
                <w:color w:val="000000"/>
                <w:szCs w:val="24"/>
              </w:rPr>
              <w:t>5.0</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45"/>
              <w:jc w:val="right"/>
              <w:rPr>
                <w:szCs w:val="24"/>
              </w:rPr>
            </w:pPr>
            <w:r w:rsidRPr="00EF0C5B">
              <w:rPr>
                <w:rFonts w:eastAsia="Times New Roman"/>
                <w:color w:val="000000"/>
                <w:szCs w:val="24"/>
              </w:rPr>
              <w:t>14.7</w:t>
            </w:r>
          </w:p>
        </w:tc>
      </w:tr>
      <w:tr w:rsidR="00357368" w:rsidRPr="00EF0C5B" w:rsidTr="00B272D7">
        <w:trPr>
          <w:trHeight w:val="360"/>
          <w:jc w:val="center"/>
        </w:trPr>
        <w:tc>
          <w:tcPr>
            <w:tcW w:w="2200" w:type="dxa"/>
            <w:shd w:val="clear" w:color="000000" w:fill="FFFFFF"/>
            <w:tcMar>
              <w:left w:w="104" w:type="dxa"/>
              <w:bottom w:w="142" w:type="dxa"/>
              <w:right w:w="104" w:type="dxa"/>
            </w:tcMar>
          </w:tcPr>
          <w:p w:rsidR="00357368" w:rsidRPr="00EF0C5B" w:rsidRDefault="00357368" w:rsidP="00DE55AE">
            <w:pPr>
              <w:spacing w:after="0" w:line="240" w:lineRule="auto"/>
              <w:rPr>
                <w:szCs w:val="24"/>
              </w:rPr>
            </w:pPr>
            <w:r w:rsidRPr="00EF0C5B">
              <w:rPr>
                <w:rFonts w:eastAsia="Times New Roman"/>
                <w:color w:val="000000"/>
                <w:szCs w:val="24"/>
              </w:rPr>
              <w:t>Jul</w:t>
            </w:r>
            <w:r>
              <w:rPr>
                <w:rFonts w:eastAsia="Times New Roman"/>
                <w:color w:val="000000"/>
                <w:szCs w:val="24"/>
              </w:rPr>
              <w:t xml:space="preserve"> 2016</w:t>
            </w:r>
            <w:r w:rsidRPr="00EF0C5B">
              <w:rPr>
                <w:rFonts w:eastAsia="Times New Roman"/>
                <w:color w:val="000000"/>
                <w:szCs w:val="24"/>
              </w:rPr>
              <w:t>-Jun</w:t>
            </w:r>
            <w:r w:rsidR="00D67A2B">
              <w:rPr>
                <w:rFonts w:eastAsia="Times New Roman"/>
                <w:color w:val="000000"/>
                <w:szCs w:val="24"/>
              </w:rPr>
              <w:t xml:space="preserve"> </w:t>
            </w:r>
            <w:r w:rsidRPr="00EF0C5B">
              <w:rPr>
                <w:rFonts w:eastAsia="Times New Roman"/>
                <w:color w:val="000000"/>
                <w:szCs w:val="24"/>
              </w:rPr>
              <w:t>2017</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62"/>
              <w:jc w:val="right"/>
              <w:rPr>
                <w:szCs w:val="24"/>
              </w:rPr>
            </w:pPr>
            <w:r w:rsidRPr="00EF0C5B">
              <w:rPr>
                <w:rFonts w:eastAsia="Times New Roman"/>
                <w:color w:val="000000"/>
                <w:szCs w:val="24"/>
              </w:rPr>
              <w:t>14.0</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15"/>
              <w:jc w:val="right"/>
              <w:rPr>
                <w:szCs w:val="24"/>
              </w:rPr>
            </w:pPr>
            <w:r w:rsidRPr="00EF0C5B">
              <w:rPr>
                <w:rFonts w:eastAsia="Times New Roman"/>
                <w:color w:val="000000"/>
                <w:szCs w:val="24"/>
              </w:rPr>
              <w:t>7.1</w:t>
            </w:r>
          </w:p>
        </w:tc>
        <w:tc>
          <w:tcPr>
            <w:tcW w:w="1290" w:type="dxa"/>
            <w:shd w:val="clear" w:color="000000" w:fill="FFFFFF"/>
            <w:tcMar>
              <w:left w:w="104" w:type="dxa"/>
              <w:bottom w:w="142" w:type="dxa"/>
              <w:right w:w="104" w:type="dxa"/>
            </w:tcMar>
          </w:tcPr>
          <w:p w:rsidR="00357368" w:rsidRPr="00EF0C5B" w:rsidRDefault="00357368" w:rsidP="00517580">
            <w:pPr>
              <w:spacing w:after="0" w:line="240" w:lineRule="auto"/>
              <w:ind w:right="245"/>
              <w:jc w:val="right"/>
              <w:rPr>
                <w:szCs w:val="24"/>
              </w:rPr>
            </w:pPr>
            <w:r w:rsidRPr="00EF0C5B">
              <w:rPr>
                <w:rFonts w:eastAsia="Times New Roman"/>
                <w:color w:val="000000"/>
                <w:szCs w:val="24"/>
              </w:rPr>
              <w:t>21.1</w:t>
            </w:r>
          </w:p>
        </w:tc>
      </w:tr>
      <w:tr w:rsidR="00357368" w:rsidRPr="00EF0C5B" w:rsidTr="00517580">
        <w:trPr>
          <w:trHeight w:val="360"/>
          <w:jc w:val="center"/>
        </w:trPr>
        <w:tc>
          <w:tcPr>
            <w:tcW w:w="2200" w:type="dxa"/>
            <w:shd w:val="clear" w:color="000000" w:fill="FFFFFF"/>
            <w:tcMar>
              <w:left w:w="104" w:type="dxa"/>
              <w:right w:w="104" w:type="dxa"/>
            </w:tcMar>
          </w:tcPr>
          <w:p w:rsidR="00357368" w:rsidRPr="00EF0C5B" w:rsidRDefault="00357368" w:rsidP="00DE55AE">
            <w:pPr>
              <w:spacing w:after="0" w:line="240" w:lineRule="auto"/>
              <w:rPr>
                <w:szCs w:val="24"/>
              </w:rPr>
            </w:pPr>
            <w:r w:rsidRPr="00EF0C5B">
              <w:rPr>
                <w:rFonts w:eastAsia="Times New Roman"/>
                <w:b/>
                <w:color w:val="000000"/>
                <w:szCs w:val="24"/>
              </w:rPr>
              <w:t>T</w:t>
            </w:r>
            <w:r>
              <w:rPr>
                <w:rFonts w:eastAsia="Times New Roman"/>
                <w:b/>
                <w:color w:val="000000"/>
                <w:szCs w:val="24"/>
              </w:rPr>
              <w:t>otal</w:t>
            </w:r>
          </w:p>
        </w:tc>
        <w:tc>
          <w:tcPr>
            <w:tcW w:w="1290" w:type="dxa"/>
            <w:shd w:val="clear" w:color="000000" w:fill="FFFFFF"/>
            <w:tcMar>
              <w:left w:w="104" w:type="dxa"/>
              <w:right w:w="104" w:type="dxa"/>
            </w:tcMar>
          </w:tcPr>
          <w:p w:rsidR="00357368" w:rsidRPr="00EF0C5B" w:rsidRDefault="00357368" w:rsidP="00517580">
            <w:pPr>
              <w:spacing w:after="0" w:line="240" w:lineRule="auto"/>
              <w:ind w:right="262"/>
              <w:jc w:val="right"/>
              <w:rPr>
                <w:szCs w:val="24"/>
              </w:rPr>
            </w:pPr>
            <w:r w:rsidRPr="00EF0C5B">
              <w:rPr>
                <w:rFonts w:eastAsia="Times New Roman"/>
                <w:b/>
                <w:color w:val="000000"/>
                <w:szCs w:val="24"/>
              </w:rPr>
              <w:t>92.0</w:t>
            </w:r>
          </w:p>
        </w:tc>
        <w:tc>
          <w:tcPr>
            <w:tcW w:w="1290" w:type="dxa"/>
            <w:shd w:val="clear" w:color="000000" w:fill="FFFFFF"/>
            <w:tcMar>
              <w:left w:w="104" w:type="dxa"/>
              <w:right w:w="104" w:type="dxa"/>
            </w:tcMar>
          </w:tcPr>
          <w:p w:rsidR="00357368" w:rsidRPr="00EF0C5B" w:rsidRDefault="00357368" w:rsidP="00517580">
            <w:pPr>
              <w:spacing w:after="0" w:line="240" w:lineRule="auto"/>
              <w:ind w:right="215"/>
              <w:jc w:val="right"/>
              <w:rPr>
                <w:szCs w:val="24"/>
              </w:rPr>
            </w:pPr>
            <w:r w:rsidRPr="00EF0C5B">
              <w:rPr>
                <w:rFonts w:eastAsia="Times New Roman"/>
                <w:b/>
                <w:color w:val="000000"/>
                <w:szCs w:val="24"/>
              </w:rPr>
              <w:t>42.0</w:t>
            </w:r>
          </w:p>
        </w:tc>
        <w:tc>
          <w:tcPr>
            <w:tcW w:w="1290" w:type="dxa"/>
            <w:shd w:val="clear" w:color="000000" w:fill="FFFFFF"/>
            <w:tcMar>
              <w:left w:w="104" w:type="dxa"/>
              <w:right w:w="104" w:type="dxa"/>
            </w:tcMar>
          </w:tcPr>
          <w:p w:rsidR="00357368" w:rsidRPr="00EF0C5B" w:rsidRDefault="00357368" w:rsidP="00517580">
            <w:pPr>
              <w:spacing w:after="0" w:line="240" w:lineRule="auto"/>
              <w:ind w:right="245"/>
              <w:jc w:val="right"/>
              <w:rPr>
                <w:szCs w:val="24"/>
              </w:rPr>
            </w:pPr>
            <w:r w:rsidRPr="00EF0C5B">
              <w:rPr>
                <w:rFonts w:eastAsia="Times New Roman"/>
                <w:b/>
                <w:color w:val="000000"/>
                <w:szCs w:val="24"/>
              </w:rPr>
              <w:t>134.0</w:t>
            </w:r>
          </w:p>
        </w:tc>
      </w:tr>
    </w:tbl>
    <w:p w:rsidR="00357368" w:rsidRPr="002F002F" w:rsidRDefault="00357368" w:rsidP="00357368">
      <w:pPr>
        <w:spacing w:after="0" w:line="240" w:lineRule="auto"/>
        <w:jc w:val="both"/>
        <w:rPr>
          <w:rFonts w:eastAsia="Times New Roman"/>
          <w:i/>
          <w:color w:val="000000"/>
          <w:sz w:val="20"/>
          <w:szCs w:val="20"/>
        </w:rPr>
      </w:pPr>
      <w:r>
        <w:rPr>
          <w:rFonts w:eastAsia="Times New Roman"/>
          <w:color w:val="000000"/>
          <w:szCs w:val="24"/>
        </w:rPr>
        <w:t>________________________________________________________________________</w:t>
      </w:r>
      <w:r w:rsidRPr="002F002F">
        <w:rPr>
          <w:rFonts w:eastAsia="Times New Roman"/>
          <w:i/>
          <w:color w:val="000000"/>
          <w:sz w:val="20"/>
          <w:szCs w:val="20"/>
        </w:rPr>
        <w:t>Source: Age debtors list as at 30 June 2017</w:t>
      </w:r>
    </w:p>
    <w:p w:rsidR="00357368" w:rsidRDefault="00357368" w:rsidP="00357368">
      <w:pPr>
        <w:spacing w:after="0" w:line="240" w:lineRule="auto"/>
        <w:jc w:val="both"/>
        <w:rPr>
          <w:rFonts w:eastAsia="Times New Roman"/>
          <w:color w:val="000000"/>
          <w:szCs w:val="24"/>
        </w:rPr>
      </w:pPr>
    </w:p>
    <w:p w:rsidR="00357368" w:rsidRDefault="00357368" w:rsidP="00357368">
      <w:pPr>
        <w:spacing w:after="0" w:line="240" w:lineRule="auto"/>
        <w:jc w:val="both"/>
        <w:rPr>
          <w:rFonts w:eastAsia="Times New Roman"/>
          <w:color w:val="000000"/>
          <w:szCs w:val="24"/>
        </w:rPr>
      </w:pPr>
      <w:r>
        <w:rPr>
          <w:rFonts w:eastAsia="Times New Roman"/>
          <w:color w:val="000000"/>
          <w:szCs w:val="24"/>
        </w:rPr>
        <w:t>A</w:t>
      </w:r>
      <w:r w:rsidRPr="00EF0C5B">
        <w:rPr>
          <w:rFonts w:eastAsia="Times New Roman"/>
          <w:color w:val="000000"/>
          <w:szCs w:val="24"/>
        </w:rPr>
        <w:t xml:space="preserve">s at 30 June 2017, </w:t>
      </w:r>
      <w:r>
        <w:rPr>
          <w:rFonts w:eastAsia="Times New Roman"/>
          <w:color w:val="000000"/>
          <w:szCs w:val="24"/>
        </w:rPr>
        <w:t>over and above</w:t>
      </w:r>
      <w:r w:rsidRPr="00EF0C5B">
        <w:rPr>
          <w:rFonts w:eastAsia="Times New Roman"/>
          <w:color w:val="000000"/>
          <w:szCs w:val="24"/>
        </w:rPr>
        <w:t xml:space="preserve"> the Rs 354 million already written off</w:t>
      </w:r>
      <w:r>
        <w:rPr>
          <w:rFonts w:eastAsia="Times New Roman"/>
          <w:color w:val="000000"/>
          <w:szCs w:val="24"/>
        </w:rPr>
        <w:t>,</w:t>
      </w:r>
      <w:r w:rsidRPr="00EF0C5B">
        <w:rPr>
          <w:rFonts w:eastAsia="Times New Roman"/>
          <w:color w:val="000000"/>
          <w:szCs w:val="24"/>
        </w:rPr>
        <w:t xml:space="preserve"> arrears of revenue of some Rs 65.8 million, that is about 49 per cent of the </w:t>
      </w:r>
      <w:r>
        <w:rPr>
          <w:rFonts w:eastAsia="Times New Roman"/>
          <w:color w:val="000000"/>
          <w:szCs w:val="24"/>
        </w:rPr>
        <w:t xml:space="preserve">outstanding figure of </w:t>
      </w:r>
      <w:r w:rsidR="002F002F">
        <w:rPr>
          <w:rFonts w:eastAsia="Times New Roman"/>
          <w:color w:val="000000"/>
          <w:szCs w:val="24"/>
        </w:rPr>
        <w:br/>
      </w:r>
      <w:r w:rsidRPr="00EF0C5B">
        <w:rPr>
          <w:rFonts w:eastAsia="Times New Roman"/>
          <w:color w:val="000000"/>
          <w:szCs w:val="24"/>
        </w:rPr>
        <w:t xml:space="preserve">Rs 134 million were </w:t>
      </w:r>
      <w:r>
        <w:rPr>
          <w:rFonts w:eastAsia="Times New Roman"/>
          <w:color w:val="000000"/>
          <w:szCs w:val="24"/>
        </w:rPr>
        <w:t xml:space="preserve">also </w:t>
      </w:r>
      <w:r w:rsidRPr="00EF0C5B">
        <w:rPr>
          <w:rFonts w:eastAsia="Times New Roman"/>
          <w:color w:val="000000"/>
          <w:szCs w:val="24"/>
        </w:rPr>
        <w:t>awaiting write off.</w:t>
      </w:r>
      <w:r>
        <w:rPr>
          <w:rFonts w:eastAsia="Times New Roman"/>
          <w:color w:val="000000"/>
          <w:szCs w:val="24"/>
        </w:rPr>
        <w:t xml:space="preserve"> </w:t>
      </w:r>
    </w:p>
    <w:p w:rsidR="00357368" w:rsidRDefault="00357368" w:rsidP="00357368">
      <w:pPr>
        <w:spacing w:after="0" w:line="240" w:lineRule="auto"/>
        <w:jc w:val="both"/>
        <w:rPr>
          <w:rFonts w:eastAsia="Times New Roman"/>
          <w:color w:val="000000"/>
          <w:szCs w:val="24"/>
        </w:rPr>
      </w:pPr>
    </w:p>
    <w:p w:rsidR="00357368" w:rsidRDefault="00357368" w:rsidP="00357368">
      <w:pPr>
        <w:spacing w:after="0" w:line="240" w:lineRule="auto"/>
        <w:jc w:val="both"/>
        <w:rPr>
          <w:szCs w:val="24"/>
        </w:rPr>
      </w:pPr>
      <w:r w:rsidRPr="00EF0C5B">
        <w:rPr>
          <w:rFonts w:eastAsia="Times New Roman"/>
          <w:color w:val="000000"/>
          <w:szCs w:val="24"/>
        </w:rPr>
        <w:t>Further, </w:t>
      </w:r>
      <w:r>
        <w:rPr>
          <w:rFonts w:eastAsia="Times New Roman"/>
          <w:color w:val="000000"/>
          <w:szCs w:val="24"/>
        </w:rPr>
        <w:t>recovery of</w:t>
      </w:r>
      <w:r w:rsidRPr="00EF0C5B">
        <w:rPr>
          <w:rFonts w:eastAsia="Times New Roman"/>
          <w:color w:val="000000"/>
          <w:szCs w:val="24"/>
        </w:rPr>
        <w:t xml:space="preserve"> debts up to 31 December 2013 </w:t>
      </w:r>
      <w:proofErr w:type="spellStart"/>
      <w:r w:rsidRPr="00EF0C5B">
        <w:rPr>
          <w:rFonts w:eastAsia="Times New Roman"/>
          <w:color w:val="000000"/>
          <w:szCs w:val="24"/>
        </w:rPr>
        <w:t>totalling</w:t>
      </w:r>
      <w:proofErr w:type="spellEnd"/>
      <w:r w:rsidRPr="00EF0C5B">
        <w:rPr>
          <w:rFonts w:eastAsia="Times New Roman"/>
          <w:color w:val="000000"/>
          <w:szCs w:val="24"/>
        </w:rPr>
        <w:t xml:space="preserve"> some Rs 74.1 million</w:t>
      </w:r>
      <w:r>
        <w:rPr>
          <w:rFonts w:eastAsia="Times New Roman"/>
          <w:color w:val="000000"/>
          <w:szCs w:val="24"/>
        </w:rPr>
        <w:t xml:space="preserve"> and</w:t>
      </w:r>
      <w:r w:rsidRPr="00EF0C5B">
        <w:rPr>
          <w:rFonts w:eastAsia="Times New Roman"/>
          <w:color w:val="000000"/>
          <w:szCs w:val="24"/>
        </w:rPr>
        <w:t xml:space="preserve"> represent</w:t>
      </w:r>
      <w:r>
        <w:rPr>
          <w:rFonts w:eastAsia="Times New Roman"/>
          <w:color w:val="000000"/>
          <w:szCs w:val="24"/>
        </w:rPr>
        <w:t>ing</w:t>
      </w:r>
      <w:r w:rsidRPr="00EF0C5B">
        <w:rPr>
          <w:rFonts w:eastAsia="Times New Roman"/>
          <w:color w:val="000000"/>
          <w:szCs w:val="24"/>
        </w:rPr>
        <w:t xml:space="preserve"> more than 55 per cent of the total </w:t>
      </w:r>
      <w:r>
        <w:rPr>
          <w:rFonts w:eastAsia="Times New Roman"/>
          <w:color w:val="000000"/>
          <w:szCs w:val="24"/>
        </w:rPr>
        <w:t xml:space="preserve">outstanding </w:t>
      </w:r>
      <w:r w:rsidRPr="00EF0C5B">
        <w:rPr>
          <w:rFonts w:eastAsia="Times New Roman"/>
          <w:color w:val="000000"/>
          <w:szCs w:val="24"/>
        </w:rPr>
        <w:t xml:space="preserve">debts </w:t>
      </w:r>
      <w:r>
        <w:rPr>
          <w:rFonts w:eastAsia="Times New Roman"/>
          <w:color w:val="000000"/>
          <w:szCs w:val="24"/>
        </w:rPr>
        <w:t>seemed remote</w:t>
      </w:r>
      <w:r w:rsidRPr="00EF0C5B">
        <w:rPr>
          <w:rFonts w:eastAsia="Times New Roman"/>
          <w:color w:val="000000"/>
          <w:szCs w:val="24"/>
        </w:rPr>
        <w:t>.</w:t>
      </w:r>
      <w:r>
        <w:rPr>
          <w:rFonts w:eastAsia="Times New Roman"/>
          <w:color w:val="000000"/>
          <w:szCs w:val="24"/>
        </w:rPr>
        <w:t xml:space="preserve"> </w:t>
      </w:r>
      <w:r>
        <w:rPr>
          <w:szCs w:val="24"/>
        </w:rPr>
        <w:t xml:space="preserve">Hence, the measures to recover the sums due from the debtors should be strengthened and enforced instead of having recourse to write off of debts. </w:t>
      </w:r>
    </w:p>
    <w:p w:rsidR="00357368" w:rsidRDefault="00357368" w:rsidP="00517580">
      <w:pPr>
        <w:spacing w:after="0" w:line="240" w:lineRule="auto"/>
        <w:rPr>
          <w:szCs w:val="24"/>
        </w:rPr>
      </w:pPr>
    </w:p>
    <w:p w:rsidR="00B272D7" w:rsidRDefault="00B272D7" w:rsidP="00517580">
      <w:pPr>
        <w:spacing w:after="0" w:line="240" w:lineRule="auto"/>
        <w:rPr>
          <w:szCs w:val="24"/>
        </w:rPr>
      </w:pPr>
    </w:p>
    <w:p w:rsidR="00357368" w:rsidRPr="00EF0C5B" w:rsidRDefault="00357368" w:rsidP="00357368">
      <w:pPr>
        <w:spacing w:after="0" w:line="240" w:lineRule="auto"/>
        <w:jc w:val="both"/>
        <w:rPr>
          <w:rFonts w:eastAsia="Times New Roman"/>
          <w:b/>
          <w:szCs w:val="24"/>
        </w:rPr>
      </w:pPr>
      <w:r w:rsidRPr="00EF0C5B">
        <w:rPr>
          <w:b/>
          <w:i/>
          <w:szCs w:val="24"/>
        </w:rPr>
        <w:lastRenderedPageBreak/>
        <w:t>Department’s Reply</w:t>
      </w:r>
    </w:p>
    <w:p w:rsidR="00357368" w:rsidRPr="00EF0C5B" w:rsidRDefault="00357368" w:rsidP="00357368">
      <w:pPr>
        <w:spacing w:after="0" w:line="240" w:lineRule="auto"/>
        <w:jc w:val="both"/>
        <w:rPr>
          <w:rFonts w:eastAsia="Times New Roman"/>
          <w:szCs w:val="24"/>
        </w:rPr>
      </w:pPr>
    </w:p>
    <w:p w:rsidR="00357368" w:rsidRPr="00EF0C5B" w:rsidRDefault="00357368" w:rsidP="00357368">
      <w:pPr>
        <w:spacing w:after="0" w:line="240" w:lineRule="auto"/>
        <w:jc w:val="both"/>
        <w:rPr>
          <w:rFonts w:eastAsia="Times New Roman"/>
          <w:szCs w:val="24"/>
        </w:rPr>
      </w:pPr>
      <w:r w:rsidRPr="00EF0C5B">
        <w:rPr>
          <w:rFonts w:eastAsia="Times New Roman"/>
          <w:szCs w:val="24"/>
        </w:rPr>
        <w:t xml:space="preserve">There is a very efficient system of recovering arrears in place at </w:t>
      </w:r>
      <w:r>
        <w:rPr>
          <w:rFonts w:eastAsia="Times New Roman"/>
          <w:szCs w:val="24"/>
        </w:rPr>
        <w:t>the Department</w:t>
      </w:r>
      <w:r w:rsidRPr="00EF0C5B">
        <w:rPr>
          <w:rFonts w:eastAsia="Times New Roman"/>
          <w:szCs w:val="24"/>
        </w:rPr>
        <w:t>. Compounding of offences have reduced arrears of revenue significantly and has proved to be an efficient and effective method of collecting revenue.</w:t>
      </w:r>
      <w:r w:rsidR="00D67A2B">
        <w:rPr>
          <w:rFonts w:eastAsia="Times New Roman"/>
          <w:szCs w:val="24"/>
        </w:rPr>
        <w:t xml:space="preserve"> </w:t>
      </w:r>
    </w:p>
    <w:p w:rsidR="00357368" w:rsidRPr="00EF0C5B" w:rsidRDefault="00357368" w:rsidP="00357368">
      <w:pPr>
        <w:spacing w:after="0" w:line="240" w:lineRule="auto"/>
        <w:jc w:val="both"/>
        <w:rPr>
          <w:rFonts w:eastAsia="Times New Roman"/>
          <w:szCs w:val="24"/>
        </w:rPr>
      </w:pPr>
    </w:p>
    <w:p w:rsidR="00357368" w:rsidRPr="00EF0C5B" w:rsidRDefault="00357368" w:rsidP="00357368">
      <w:pPr>
        <w:spacing w:after="0" w:line="240" w:lineRule="auto"/>
        <w:jc w:val="both"/>
        <w:rPr>
          <w:rFonts w:eastAsia="Times New Roman"/>
          <w:szCs w:val="24"/>
        </w:rPr>
      </w:pPr>
      <w:r w:rsidRPr="00EF0C5B">
        <w:rPr>
          <w:rFonts w:eastAsia="Times New Roman"/>
          <w:szCs w:val="24"/>
        </w:rPr>
        <w:t xml:space="preserve">On 13 October 2017, approval has been sought from the Director of Internal Control for the write off of irrecoverable debts </w:t>
      </w:r>
      <w:r>
        <w:rPr>
          <w:rFonts w:eastAsia="Times New Roman"/>
          <w:szCs w:val="24"/>
        </w:rPr>
        <w:t>of Rs 65,816,518</w:t>
      </w:r>
      <w:r w:rsidRPr="00EF0C5B">
        <w:rPr>
          <w:rFonts w:eastAsia="Times New Roman"/>
          <w:szCs w:val="24"/>
        </w:rPr>
        <w:t>.</w:t>
      </w:r>
    </w:p>
    <w:p w:rsidR="00357368" w:rsidRPr="00EF0C5B" w:rsidRDefault="00357368" w:rsidP="00357368">
      <w:pPr>
        <w:spacing w:after="0" w:line="240" w:lineRule="auto"/>
        <w:jc w:val="both"/>
        <w:rPr>
          <w:rFonts w:eastAsia="Times New Roman"/>
          <w:b/>
          <w:i/>
          <w:szCs w:val="24"/>
        </w:rPr>
      </w:pPr>
    </w:p>
    <w:p w:rsidR="00517580" w:rsidRDefault="00517580">
      <w:r>
        <w:br w:type="page"/>
      </w:r>
    </w:p>
    <w:p w:rsidR="00357368" w:rsidRPr="00517580" w:rsidRDefault="00357368" w:rsidP="00357368">
      <w:pPr>
        <w:spacing w:after="0" w:line="240" w:lineRule="auto"/>
        <w:rPr>
          <w:b/>
          <w:sz w:val="32"/>
          <w:szCs w:val="32"/>
        </w:rPr>
      </w:pPr>
      <w:r w:rsidRPr="00517580">
        <w:rPr>
          <w:b/>
          <w:sz w:val="32"/>
          <w:szCs w:val="32"/>
        </w:rPr>
        <w:lastRenderedPageBreak/>
        <w:t>Registrar-General’s Department</w:t>
      </w:r>
    </w:p>
    <w:p w:rsidR="00357368" w:rsidRDefault="00357368" w:rsidP="00357368">
      <w:pPr>
        <w:spacing w:after="0" w:line="240" w:lineRule="auto"/>
        <w:rPr>
          <w:b/>
          <w:szCs w:val="24"/>
        </w:rPr>
      </w:pPr>
      <w:bookmarkStart w:id="19" w:name="rgd"/>
      <w:bookmarkEnd w:id="19"/>
    </w:p>
    <w:p w:rsidR="00357368" w:rsidRPr="00F3445B" w:rsidRDefault="00DE09C2" w:rsidP="00357368">
      <w:pPr>
        <w:spacing w:after="0" w:line="240" w:lineRule="auto"/>
        <w:rPr>
          <w:b/>
          <w:szCs w:val="24"/>
        </w:rPr>
      </w:pPr>
      <w:r>
        <w:rPr>
          <w:b/>
          <w:szCs w:val="24"/>
        </w:rPr>
        <w:t>6.12</w:t>
      </w:r>
      <w:r w:rsidR="00357368">
        <w:rPr>
          <w:b/>
          <w:szCs w:val="24"/>
        </w:rPr>
        <w:tab/>
      </w:r>
      <w:r w:rsidR="00357368" w:rsidRPr="00F3445B">
        <w:rPr>
          <w:b/>
          <w:szCs w:val="24"/>
        </w:rPr>
        <w:t>Arrears of Revenue</w:t>
      </w:r>
      <w:r w:rsidR="00357368">
        <w:rPr>
          <w:b/>
          <w:szCs w:val="24"/>
        </w:rPr>
        <w:t xml:space="preserve"> - </w:t>
      </w:r>
      <w:r w:rsidR="00357368" w:rsidRPr="00F3445B">
        <w:rPr>
          <w:b/>
          <w:szCs w:val="24"/>
        </w:rPr>
        <w:t>Rs 369.3 million</w:t>
      </w:r>
    </w:p>
    <w:p w:rsidR="00357368" w:rsidRDefault="00357368" w:rsidP="00357368">
      <w:pPr>
        <w:spacing w:after="0" w:line="240" w:lineRule="auto"/>
        <w:jc w:val="both"/>
        <w:rPr>
          <w:szCs w:val="24"/>
        </w:rPr>
      </w:pPr>
    </w:p>
    <w:p w:rsidR="00357368" w:rsidRDefault="00357368" w:rsidP="00357368">
      <w:pPr>
        <w:spacing w:after="0" w:line="240" w:lineRule="auto"/>
        <w:jc w:val="both"/>
        <w:rPr>
          <w:szCs w:val="24"/>
        </w:rPr>
      </w:pPr>
      <w:r>
        <w:rPr>
          <w:szCs w:val="24"/>
        </w:rPr>
        <w:t>I</w:t>
      </w:r>
      <w:r w:rsidRPr="00F3445B">
        <w:rPr>
          <w:szCs w:val="24"/>
        </w:rPr>
        <w:t xml:space="preserve">n </w:t>
      </w:r>
      <w:r>
        <w:rPr>
          <w:szCs w:val="24"/>
        </w:rPr>
        <w:t>several</w:t>
      </w:r>
      <w:r w:rsidRPr="00F3445B">
        <w:rPr>
          <w:szCs w:val="24"/>
        </w:rPr>
        <w:t xml:space="preserve"> </w:t>
      </w:r>
      <w:r>
        <w:rPr>
          <w:szCs w:val="24"/>
        </w:rPr>
        <w:t>p</w:t>
      </w:r>
      <w:r w:rsidRPr="00F3445B">
        <w:rPr>
          <w:szCs w:val="24"/>
        </w:rPr>
        <w:t xml:space="preserve">ast audit reports, </w:t>
      </w:r>
      <w:r>
        <w:rPr>
          <w:szCs w:val="24"/>
        </w:rPr>
        <w:t xml:space="preserve">mention was made that </w:t>
      </w:r>
      <w:r w:rsidRPr="00F3445B">
        <w:rPr>
          <w:szCs w:val="24"/>
        </w:rPr>
        <w:t xml:space="preserve">revenue </w:t>
      </w:r>
      <w:r>
        <w:rPr>
          <w:szCs w:val="24"/>
        </w:rPr>
        <w:t xml:space="preserve">management </w:t>
      </w:r>
      <w:r w:rsidRPr="00F3445B">
        <w:rPr>
          <w:szCs w:val="24"/>
        </w:rPr>
        <w:t>remain</w:t>
      </w:r>
      <w:r>
        <w:rPr>
          <w:szCs w:val="24"/>
        </w:rPr>
        <w:t>ed</w:t>
      </w:r>
      <w:r w:rsidRPr="00F3445B">
        <w:rPr>
          <w:szCs w:val="24"/>
        </w:rPr>
        <w:t xml:space="preserve"> a high risk area for the </w:t>
      </w:r>
      <w:r>
        <w:rPr>
          <w:szCs w:val="24"/>
        </w:rPr>
        <w:t>Registrar General Department (</w:t>
      </w:r>
      <w:r w:rsidRPr="00F3445B">
        <w:rPr>
          <w:szCs w:val="24"/>
        </w:rPr>
        <w:t>RGD</w:t>
      </w:r>
      <w:r>
        <w:rPr>
          <w:szCs w:val="24"/>
        </w:rPr>
        <w:t>)</w:t>
      </w:r>
      <w:r w:rsidRPr="00F3445B">
        <w:rPr>
          <w:szCs w:val="24"/>
        </w:rPr>
        <w:t xml:space="preserve"> due to </w:t>
      </w:r>
      <w:r>
        <w:rPr>
          <w:szCs w:val="24"/>
        </w:rPr>
        <w:t xml:space="preserve">lengthy procedures involved in </w:t>
      </w:r>
      <w:proofErr w:type="spellStart"/>
      <w:r>
        <w:rPr>
          <w:szCs w:val="24"/>
        </w:rPr>
        <w:t>finalising</w:t>
      </w:r>
      <w:proofErr w:type="spellEnd"/>
      <w:r>
        <w:rPr>
          <w:szCs w:val="24"/>
        </w:rPr>
        <w:t xml:space="preserve"> re-assessment cases under objections, as well as dealing with </w:t>
      </w:r>
      <w:r w:rsidRPr="00F3445B">
        <w:rPr>
          <w:szCs w:val="24"/>
        </w:rPr>
        <w:t xml:space="preserve">defaulting debtors. </w:t>
      </w:r>
      <w:r>
        <w:rPr>
          <w:szCs w:val="24"/>
        </w:rPr>
        <w:t>D</w:t>
      </w:r>
      <w:r w:rsidRPr="00F3445B">
        <w:rPr>
          <w:szCs w:val="24"/>
        </w:rPr>
        <w:t>ebtors ar</w:t>
      </w:r>
      <w:r>
        <w:rPr>
          <w:szCs w:val="24"/>
        </w:rPr>
        <w:t>i</w:t>
      </w:r>
      <w:r w:rsidRPr="00F3445B">
        <w:rPr>
          <w:szCs w:val="24"/>
        </w:rPr>
        <w:t xml:space="preserve">se when additional registration duties are claimed </w:t>
      </w:r>
      <w:r>
        <w:rPr>
          <w:szCs w:val="24"/>
        </w:rPr>
        <w:t xml:space="preserve">by the RGD </w:t>
      </w:r>
      <w:r w:rsidRPr="00F3445B">
        <w:rPr>
          <w:szCs w:val="24"/>
        </w:rPr>
        <w:t xml:space="preserve">following </w:t>
      </w:r>
      <w:r>
        <w:rPr>
          <w:szCs w:val="24"/>
        </w:rPr>
        <w:t>re-</w:t>
      </w:r>
      <w:r w:rsidRPr="00F3445B">
        <w:rPr>
          <w:szCs w:val="24"/>
        </w:rPr>
        <w:t xml:space="preserve">assessments by the Government </w:t>
      </w:r>
      <w:proofErr w:type="spellStart"/>
      <w:r w:rsidRPr="00F3445B">
        <w:rPr>
          <w:szCs w:val="24"/>
        </w:rPr>
        <w:t>Valuer</w:t>
      </w:r>
      <w:proofErr w:type="spellEnd"/>
      <w:r w:rsidRPr="00F3445B">
        <w:rPr>
          <w:szCs w:val="24"/>
        </w:rPr>
        <w:t xml:space="preserve"> and the amount due </w:t>
      </w:r>
      <w:r>
        <w:rPr>
          <w:szCs w:val="24"/>
        </w:rPr>
        <w:t>is</w:t>
      </w:r>
      <w:r w:rsidRPr="00F3445B">
        <w:rPr>
          <w:szCs w:val="24"/>
        </w:rPr>
        <w:t xml:space="preserve"> not </w:t>
      </w:r>
      <w:r>
        <w:rPr>
          <w:szCs w:val="24"/>
        </w:rPr>
        <w:t xml:space="preserve">promptly </w:t>
      </w:r>
      <w:r w:rsidRPr="00F3445B">
        <w:rPr>
          <w:szCs w:val="24"/>
        </w:rPr>
        <w:t>settled</w:t>
      </w:r>
      <w:r>
        <w:rPr>
          <w:szCs w:val="24"/>
        </w:rPr>
        <w:t xml:space="preserve">. </w:t>
      </w:r>
      <w:r w:rsidRPr="00062E0E">
        <w:rPr>
          <w:szCs w:val="24"/>
        </w:rPr>
        <w:t>Out of the total amount of Rs 369.3 million of arrears of revenue as at 30 June 2017, some Rs 348 million related to registration duties/taxes on land transactions, that is, 94 per cent.</w:t>
      </w:r>
      <w:r w:rsidRPr="00F3445B">
        <w:rPr>
          <w:szCs w:val="24"/>
        </w:rPr>
        <w:t xml:space="preserve"> </w:t>
      </w:r>
    </w:p>
    <w:p w:rsidR="00357368" w:rsidRDefault="00357368" w:rsidP="008E5443">
      <w:pPr>
        <w:spacing w:after="0" w:line="240" w:lineRule="auto"/>
        <w:jc w:val="both"/>
        <w:rPr>
          <w:szCs w:val="24"/>
        </w:rPr>
      </w:pPr>
    </w:p>
    <w:p w:rsidR="00357368" w:rsidRDefault="00357368" w:rsidP="002B34E8">
      <w:pPr>
        <w:pBdr>
          <w:bottom w:val="single" w:sz="4" w:space="1" w:color="auto"/>
        </w:pBdr>
        <w:spacing w:after="0" w:line="240" w:lineRule="auto"/>
        <w:jc w:val="center"/>
        <w:rPr>
          <w:i/>
          <w:szCs w:val="24"/>
        </w:rPr>
      </w:pPr>
      <w:r w:rsidRPr="003977E3">
        <w:rPr>
          <w:i/>
          <w:szCs w:val="24"/>
        </w:rPr>
        <w:t xml:space="preserve">Table </w:t>
      </w:r>
      <w:bookmarkStart w:id="20" w:name="_Hlk507250820"/>
      <w:r w:rsidR="00CA4A50">
        <w:rPr>
          <w:i/>
          <w:szCs w:val="24"/>
        </w:rPr>
        <w:t>6-</w:t>
      </w:r>
      <w:proofErr w:type="gramStart"/>
      <w:r w:rsidR="00CA4A50">
        <w:rPr>
          <w:i/>
          <w:szCs w:val="24"/>
        </w:rPr>
        <w:t>18</w:t>
      </w:r>
      <w:r w:rsidR="00D67A2B">
        <w:rPr>
          <w:i/>
          <w:szCs w:val="24"/>
        </w:rPr>
        <w:t xml:space="preserve">  </w:t>
      </w:r>
      <w:r w:rsidRPr="003977E3">
        <w:rPr>
          <w:i/>
          <w:szCs w:val="24"/>
        </w:rPr>
        <w:t>Arrears</w:t>
      </w:r>
      <w:proofErr w:type="gramEnd"/>
      <w:r w:rsidRPr="003977E3">
        <w:rPr>
          <w:i/>
          <w:szCs w:val="24"/>
        </w:rPr>
        <w:t xml:space="preserve"> of Revenue for the period 1 January 2012 to 30 June 2017</w:t>
      </w:r>
      <w:bookmarkEnd w:id="20"/>
    </w:p>
    <w:p w:rsidR="002B34E8" w:rsidRDefault="002B34E8" w:rsidP="002B34E8">
      <w:pPr>
        <w:pBdr>
          <w:bottom w:val="single" w:sz="4" w:space="1" w:color="auto"/>
        </w:pBdr>
        <w:spacing w:after="0" w:line="240" w:lineRule="auto"/>
        <w:jc w:val="center"/>
        <w:rPr>
          <w:i/>
          <w:szCs w:val="24"/>
        </w:rPr>
      </w:pPr>
    </w:p>
    <w:p w:rsidR="00067FDF" w:rsidRPr="00067FDF" w:rsidRDefault="00067FDF" w:rsidP="002B34E8">
      <w:pPr>
        <w:spacing w:after="0" w:line="240" w:lineRule="auto"/>
        <w:rPr>
          <w:szCs w:val="24"/>
        </w:rPr>
      </w:pPr>
    </w:p>
    <w:tbl>
      <w:tblPr>
        <w:tblStyle w:val="TableGrid"/>
        <w:tblW w:w="86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898"/>
        <w:gridCol w:w="952"/>
        <w:gridCol w:w="942"/>
        <w:gridCol w:w="999"/>
        <w:gridCol w:w="1042"/>
        <w:gridCol w:w="1334"/>
      </w:tblGrid>
      <w:tr w:rsidR="00357368" w:rsidRPr="007119E0" w:rsidTr="00414D4D">
        <w:trPr>
          <w:trHeight w:val="20"/>
          <w:jc w:val="center"/>
        </w:trPr>
        <w:tc>
          <w:tcPr>
            <w:tcW w:w="2532" w:type="dxa"/>
          </w:tcPr>
          <w:p w:rsidR="00357368" w:rsidRPr="00D54927" w:rsidRDefault="00357368" w:rsidP="008E5443">
            <w:pPr>
              <w:jc w:val="right"/>
              <w:rPr>
                <w:sz w:val="22"/>
              </w:rPr>
            </w:pPr>
          </w:p>
        </w:tc>
        <w:tc>
          <w:tcPr>
            <w:tcW w:w="902" w:type="dxa"/>
          </w:tcPr>
          <w:p w:rsidR="00357368" w:rsidRPr="00D54927" w:rsidRDefault="00357368" w:rsidP="00D54927">
            <w:pPr>
              <w:jc w:val="center"/>
              <w:rPr>
                <w:b/>
                <w:sz w:val="22"/>
              </w:rPr>
            </w:pPr>
            <w:r w:rsidRPr="00D54927">
              <w:rPr>
                <w:b/>
                <w:sz w:val="22"/>
              </w:rPr>
              <w:t>Year</w:t>
            </w:r>
          </w:p>
          <w:p w:rsidR="00357368" w:rsidRPr="00D54927" w:rsidRDefault="00357368" w:rsidP="00D54927">
            <w:pPr>
              <w:jc w:val="center"/>
              <w:rPr>
                <w:b/>
                <w:sz w:val="22"/>
              </w:rPr>
            </w:pPr>
            <w:r w:rsidRPr="00D54927">
              <w:rPr>
                <w:b/>
                <w:sz w:val="22"/>
              </w:rPr>
              <w:t>2012</w:t>
            </w:r>
          </w:p>
        </w:tc>
        <w:tc>
          <w:tcPr>
            <w:tcW w:w="958" w:type="dxa"/>
          </w:tcPr>
          <w:p w:rsidR="00357368" w:rsidRPr="00D54927" w:rsidRDefault="00357368" w:rsidP="00D54927">
            <w:pPr>
              <w:jc w:val="center"/>
              <w:rPr>
                <w:b/>
                <w:sz w:val="22"/>
              </w:rPr>
            </w:pPr>
            <w:r w:rsidRPr="00D54927">
              <w:rPr>
                <w:b/>
                <w:sz w:val="22"/>
              </w:rPr>
              <w:t>Year 2013</w:t>
            </w:r>
          </w:p>
        </w:tc>
        <w:tc>
          <w:tcPr>
            <w:tcW w:w="947" w:type="dxa"/>
          </w:tcPr>
          <w:p w:rsidR="00357368" w:rsidRPr="00D54927" w:rsidRDefault="00357368" w:rsidP="00D54927">
            <w:pPr>
              <w:jc w:val="center"/>
              <w:rPr>
                <w:b/>
                <w:sz w:val="22"/>
              </w:rPr>
            </w:pPr>
            <w:r w:rsidRPr="00D54927">
              <w:rPr>
                <w:b/>
                <w:sz w:val="22"/>
              </w:rPr>
              <w:t>Year 2014</w:t>
            </w:r>
          </w:p>
        </w:tc>
        <w:tc>
          <w:tcPr>
            <w:tcW w:w="1006" w:type="dxa"/>
          </w:tcPr>
          <w:p w:rsidR="00357368" w:rsidRPr="00D54927" w:rsidRDefault="00357368" w:rsidP="00D54927">
            <w:pPr>
              <w:jc w:val="center"/>
              <w:rPr>
                <w:b/>
                <w:sz w:val="22"/>
              </w:rPr>
            </w:pPr>
            <w:r w:rsidRPr="00D54927">
              <w:rPr>
                <w:b/>
                <w:sz w:val="22"/>
              </w:rPr>
              <w:t>1 Jan 2015 to 30 June 2016</w:t>
            </w:r>
          </w:p>
        </w:tc>
        <w:tc>
          <w:tcPr>
            <w:tcW w:w="1048" w:type="dxa"/>
          </w:tcPr>
          <w:p w:rsidR="00357368" w:rsidRPr="00D54927" w:rsidRDefault="00357368" w:rsidP="00D54927">
            <w:pPr>
              <w:jc w:val="center"/>
              <w:rPr>
                <w:b/>
                <w:sz w:val="22"/>
              </w:rPr>
            </w:pPr>
            <w:r w:rsidRPr="00D54927">
              <w:rPr>
                <w:b/>
                <w:sz w:val="22"/>
              </w:rPr>
              <w:t>Year</w:t>
            </w:r>
          </w:p>
          <w:p w:rsidR="00357368" w:rsidRPr="00D54927" w:rsidRDefault="00357368" w:rsidP="00D54927">
            <w:pPr>
              <w:jc w:val="center"/>
              <w:rPr>
                <w:b/>
                <w:sz w:val="22"/>
              </w:rPr>
            </w:pPr>
            <w:r w:rsidRPr="00D54927">
              <w:rPr>
                <w:b/>
                <w:sz w:val="22"/>
              </w:rPr>
              <w:t>2016-17</w:t>
            </w:r>
          </w:p>
        </w:tc>
        <w:tc>
          <w:tcPr>
            <w:tcW w:w="1339" w:type="dxa"/>
          </w:tcPr>
          <w:p w:rsidR="00357368" w:rsidRPr="00D54927" w:rsidRDefault="00357368" w:rsidP="00D54927">
            <w:pPr>
              <w:jc w:val="center"/>
              <w:rPr>
                <w:b/>
                <w:sz w:val="22"/>
              </w:rPr>
            </w:pPr>
            <w:r w:rsidRPr="00D54927">
              <w:rPr>
                <w:b/>
                <w:sz w:val="22"/>
              </w:rPr>
              <w:t>Total for Jan 2012 to</w:t>
            </w:r>
            <w:r w:rsidR="00D67A2B" w:rsidRPr="00D54927">
              <w:rPr>
                <w:b/>
                <w:sz w:val="22"/>
              </w:rPr>
              <w:t xml:space="preserve"> </w:t>
            </w:r>
            <w:r w:rsidRPr="00D54927">
              <w:rPr>
                <w:b/>
                <w:sz w:val="22"/>
              </w:rPr>
              <w:t>June 2017</w:t>
            </w:r>
          </w:p>
        </w:tc>
      </w:tr>
      <w:tr w:rsidR="00357368" w:rsidRPr="007119E0" w:rsidTr="00414D4D">
        <w:trPr>
          <w:trHeight w:val="20"/>
          <w:jc w:val="center"/>
        </w:trPr>
        <w:tc>
          <w:tcPr>
            <w:tcW w:w="2532" w:type="dxa"/>
            <w:tcMar>
              <w:bottom w:w="142" w:type="dxa"/>
            </w:tcMar>
          </w:tcPr>
          <w:p w:rsidR="00357368" w:rsidRPr="00D54927" w:rsidRDefault="00357368" w:rsidP="008E5443">
            <w:pPr>
              <w:jc w:val="right"/>
              <w:rPr>
                <w:sz w:val="22"/>
              </w:rPr>
            </w:pPr>
          </w:p>
        </w:tc>
        <w:tc>
          <w:tcPr>
            <w:tcW w:w="902" w:type="dxa"/>
            <w:tcMar>
              <w:bottom w:w="142" w:type="dxa"/>
            </w:tcMar>
          </w:tcPr>
          <w:p w:rsidR="00357368" w:rsidRPr="00D54927" w:rsidRDefault="00357368" w:rsidP="00D54927">
            <w:pPr>
              <w:ind w:right="-53"/>
              <w:jc w:val="center"/>
              <w:rPr>
                <w:b/>
                <w:sz w:val="22"/>
              </w:rPr>
            </w:pPr>
            <w:r w:rsidRPr="00D54927">
              <w:rPr>
                <w:b/>
                <w:sz w:val="22"/>
              </w:rPr>
              <w:t>Rs m</w:t>
            </w:r>
          </w:p>
        </w:tc>
        <w:tc>
          <w:tcPr>
            <w:tcW w:w="958" w:type="dxa"/>
            <w:tcMar>
              <w:bottom w:w="142" w:type="dxa"/>
            </w:tcMar>
          </w:tcPr>
          <w:p w:rsidR="00357368" w:rsidRPr="00D54927" w:rsidRDefault="00357368" w:rsidP="00D54927">
            <w:pPr>
              <w:jc w:val="center"/>
              <w:rPr>
                <w:b/>
                <w:sz w:val="22"/>
              </w:rPr>
            </w:pPr>
            <w:r w:rsidRPr="00D54927">
              <w:rPr>
                <w:b/>
                <w:sz w:val="22"/>
              </w:rPr>
              <w:t>Rs m</w:t>
            </w:r>
          </w:p>
        </w:tc>
        <w:tc>
          <w:tcPr>
            <w:tcW w:w="947" w:type="dxa"/>
            <w:tcMar>
              <w:bottom w:w="142" w:type="dxa"/>
            </w:tcMar>
          </w:tcPr>
          <w:p w:rsidR="00357368" w:rsidRPr="00D54927" w:rsidRDefault="00357368" w:rsidP="00D54927">
            <w:pPr>
              <w:jc w:val="center"/>
              <w:rPr>
                <w:b/>
                <w:sz w:val="22"/>
              </w:rPr>
            </w:pPr>
            <w:r w:rsidRPr="00D54927">
              <w:rPr>
                <w:b/>
                <w:sz w:val="22"/>
              </w:rPr>
              <w:t>Rs m</w:t>
            </w:r>
          </w:p>
        </w:tc>
        <w:tc>
          <w:tcPr>
            <w:tcW w:w="1006" w:type="dxa"/>
            <w:tcMar>
              <w:bottom w:w="142" w:type="dxa"/>
            </w:tcMar>
          </w:tcPr>
          <w:p w:rsidR="00357368" w:rsidRPr="00D54927" w:rsidRDefault="00357368" w:rsidP="00D54927">
            <w:pPr>
              <w:jc w:val="center"/>
              <w:rPr>
                <w:b/>
                <w:sz w:val="22"/>
              </w:rPr>
            </w:pPr>
            <w:r w:rsidRPr="00D54927">
              <w:rPr>
                <w:b/>
                <w:sz w:val="22"/>
              </w:rPr>
              <w:t>Rs m</w:t>
            </w:r>
          </w:p>
        </w:tc>
        <w:tc>
          <w:tcPr>
            <w:tcW w:w="1048" w:type="dxa"/>
            <w:tcMar>
              <w:bottom w:w="142" w:type="dxa"/>
            </w:tcMar>
          </w:tcPr>
          <w:p w:rsidR="00357368" w:rsidRPr="00D54927" w:rsidRDefault="00357368" w:rsidP="00D54927">
            <w:pPr>
              <w:jc w:val="center"/>
              <w:rPr>
                <w:b/>
                <w:sz w:val="22"/>
              </w:rPr>
            </w:pPr>
            <w:r w:rsidRPr="00D54927">
              <w:rPr>
                <w:b/>
                <w:sz w:val="22"/>
              </w:rPr>
              <w:t>Rs m</w:t>
            </w:r>
          </w:p>
        </w:tc>
        <w:tc>
          <w:tcPr>
            <w:tcW w:w="1339" w:type="dxa"/>
            <w:tcMar>
              <w:bottom w:w="142" w:type="dxa"/>
            </w:tcMar>
          </w:tcPr>
          <w:p w:rsidR="00357368" w:rsidRPr="00D54927" w:rsidRDefault="00357368" w:rsidP="002B34E8">
            <w:pPr>
              <w:ind w:right="-82"/>
              <w:jc w:val="center"/>
              <w:rPr>
                <w:b/>
                <w:sz w:val="22"/>
              </w:rPr>
            </w:pPr>
            <w:r w:rsidRPr="00D54927">
              <w:rPr>
                <w:b/>
                <w:sz w:val="22"/>
              </w:rPr>
              <w:t>Rs</w:t>
            </w:r>
            <w:r w:rsidR="002B34E8">
              <w:rPr>
                <w:b/>
                <w:sz w:val="22"/>
              </w:rPr>
              <w:t xml:space="preserve"> m</w:t>
            </w:r>
          </w:p>
        </w:tc>
      </w:tr>
      <w:tr w:rsidR="00357368" w:rsidRPr="007119E0" w:rsidTr="00414D4D">
        <w:trPr>
          <w:trHeight w:val="20"/>
          <w:jc w:val="center"/>
        </w:trPr>
        <w:tc>
          <w:tcPr>
            <w:tcW w:w="2532" w:type="dxa"/>
            <w:tcMar>
              <w:bottom w:w="142" w:type="dxa"/>
            </w:tcMar>
          </w:tcPr>
          <w:p w:rsidR="00357368" w:rsidRPr="00D54927" w:rsidRDefault="00357368" w:rsidP="00414D4D">
            <w:pPr>
              <w:rPr>
                <w:b/>
                <w:sz w:val="22"/>
              </w:rPr>
            </w:pPr>
            <w:r w:rsidRPr="00D54927">
              <w:rPr>
                <w:b/>
                <w:sz w:val="22"/>
              </w:rPr>
              <w:t>Balance at 1 Jan /1 July</w:t>
            </w:r>
          </w:p>
        </w:tc>
        <w:tc>
          <w:tcPr>
            <w:tcW w:w="902" w:type="dxa"/>
            <w:tcMar>
              <w:bottom w:w="142" w:type="dxa"/>
            </w:tcMar>
          </w:tcPr>
          <w:p w:rsidR="00357368" w:rsidRPr="00D54927" w:rsidRDefault="00357368" w:rsidP="00414D4D">
            <w:pPr>
              <w:ind w:left="-345" w:right="176" w:hanging="142"/>
              <w:jc w:val="right"/>
              <w:rPr>
                <w:b/>
                <w:sz w:val="22"/>
              </w:rPr>
            </w:pPr>
            <w:r w:rsidRPr="00D54927">
              <w:rPr>
                <w:b/>
                <w:sz w:val="22"/>
              </w:rPr>
              <w:t>213</w:t>
            </w:r>
          </w:p>
        </w:tc>
        <w:tc>
          <w:tcPr>
            <w:tcW w:w="958" w:type="dxa"/>
            <w:tcMar>
              <w:bottom w:w="142" w:type="dxa"/>
            </w:tcMar>
          </w:tcPr>
          <w:p w:rsidR="00357368" w:rsidRPr="00D54927" w:rsidRDefault="00357368" w:rsidP="00414D4D">
            <w:pPr>
              <w:ind w:left="-250" w:right="136"/>
              <w:jc w:val="right"/>
              <w:rPr>
                <w:b/>
                <w:sz w:val="22"/>
              </w:rPr>
            </w:pPr>
            <w:r w:rsidRPr="00D54927">
              <w:rPr>
                <w:b/>
                <w:sz w:val="22"/>
              </w:rPr>
              <w:t>290</w:t>
            </w:r>
          </w:p>
        </w:tc>
        <w:tc>
          <w:tcPr>
            <w:tcW w:w="947" w:type="dxa"/>
            <w:tcMar>
              <w:bottom w:w="142" w:type="dxa"/>
            </w:tcMar>
          </w:tcPr>
          <w:p w:rsidR="00357368" w:rsidRPr="00D54927" w:rsidRDefault="00357368" w:rsidP="00414D4D">
            <w:pPr>
              <w:ind w:left="-352" w:right="227"/>
              <w:jc w:val="right"/>
              <w:rPr>
                <w:b/>
                <w:sz w:val="22"/>
              </w:rPr>
            </w:pPr>
            <w:r w:rsidRPr="00D54927">
              <w:rPr>
                <w:b/>
                <w:sz w:val="22"/>
              </w:rPr>
              <w:t>331</w:t>
            </w:r>
          </w:p>
        </w:tc>
        <w:tc>
          <w:tcPr>
            <w:tcW w:w="1006" w:type="dxa"/>
            <w:tcMar>
              <w:bottom w:w="142" w:type="dxa"/>
            </w:tcMar>
          </w:tcPr>
          <w:p w:rsidR="00357368" w:rsidRPr="00D54927" w:rsidRDefault="00357368" w:rsidP="00414D4D">
            <w:pPr>
              <w:ind w:left="-302" w:right="234"/>
              <w:jc w:val="right"/>
              <w:rPr>
                <w:b/>
                <w:sz w:val="22"/>
              </w:rPr>
            </w:pPr>
            <w:r w:rsidRPr="00D54927">
              <w:rPr>
                <w:b/>
                <w:sz w:val="22"/>
              </w:rPr>
              <w:t>440</w:t>
            </w:r>
          </w:p>
        </w:tc>
        <w:tc>
          <w:tcPr>
            <w:tcW w:w="1048" w:type="dxa"/>
            <w:tcMar>
              <w:bottom w:w="142" w:type="dxa"/>
            </w:tcMar>
          </w:tcPr>
          <w:p w:rsidR="00357368" w:rsidRPr="00D54927" w:rsidRDefault="00357368" w:rsidP="00414D4D">
            <w:pPr>
              <w:ind w:left="-308" w:right="284" w:hanging="141"/>
              <w:jc w:val="right"/>
              <w:rPr>
                <w:b/>
                <w:sz w:val="22"/>
              </w:rPr>
            </w:pPr>
            <w:r w:rsidRPr="00D54927">
              <w:rPr>
                <w:b/>
                <w:sz w:val="22"/>
              </w:rPr>
              <w:t>359</w:t>
            </w:r>
          </w:p>
        </w:tc>
        <w:tc>
          <w:tcPr>
            <w:tcW w:w="1339" w:type="dxa"/>
            <w:tcMar>
              <w:bottom w:w="142" w:type="dxa"/>
            </w:tcMar>
          </w:tcPr>
          <w:p w:rsidR="00357368" w:rsidRPr="00D54927" w:rsidRDefault="00357368" w:rsidP="008E5443">
            <w:pPr>
              <w:ind w:right="359"/>
              <w:jc w:val="right"/>
              <w:rPr>
                <w:b/>
                <w:sz w:val="22"/>
              </w:rPr>
            </w:pPr>
            <w:r w:rsidRPr="00D54927">
              <w:rPr>
                <w:b/>
                <w:sz w:val="22"/>
              </w:rPr>
              <w:t>213</w:t>
            </w:r>
          </w:p>
        </w:tc>
      </w:tr>
      <w:tr w:rsidR="00357368" w:rsidRPr="007119E0" w:rsidTr="00414D4D">
        <w:trPr>
          <w:trHeight w:val="20"/>
          <w:jc w:val="center"/>
        </w:trPr>
        <w:tc>
          <w:tcPr>
            <w:tcW w:w="2532" w:type="dxa"/>
            <w:tcMar>
              <w:bottom w:w="142" w:type="dxa"/>
            </w:tcMar>
          </w:tcPr>
          <w:p w:rsidR="00357368" w:rsidRPr="00F3445B" w:rsidRDefault="00357368" w:rsidP="008E5443">
            <w:pPr>
              <w:rPr>
                <w:szCs w:val="24"/>
              </w:rPr>
            </w:pPr>
            <w:r w:rsidRPr="00F3445B">
              <w:rPr>
                <w:szCs w:val="24"/>
              </w:rPr>
              <w:t>Less Adjustment to Debits</w:t>
            </w:r>
          </w:p>
        </w:tc>
        <w:tc>
          <w:tcPr>
            <w:tcW w:w="902" w:type="dxa"/>
            <w:tcMar>
              <w:bottom w:w="142" w:type="dxa"/>
            </w:tcMar>
            <w:vAlign w:val="bottom"/>
          </w:tcPr>
          <w:p w:rsidR="00357368" w:rsidRPr="00F3445B" w:rsidRDefault="00357368" w:rsidP="00414D4D">
            <w:pPr>
              <w:ind w:left="-345" w:right="176" w:hanging="142"/>
              <w:jc w:val="right"/>
              <w:rPr>
                <w:szCs w:val="24"/>
              </w:rPr>
            </w:pPr>
            <w:r w:rsidRPr="00F3445B">
              <w:rPr>
                <w:szCs w:val="24"/>
              </w:rPr>
              <w:t>14</w:t>
            </w:r>
          </w:p>
        </w:tc>
        <w:tc>
          <w:tcPr>
            <w:tcW w:w="958" w:type="dxa"/>
            <w:tcMar>
              <w:bottom w:w="142" w:type="dxa"/>
            </w:tcMar>
            <w:vAlign w:val="bottom"/>
          </w:tcPr>
          <w:p w:rsidR="00357368" w:rsidRPr="00F3445B" w:rsidRDefault="00357368" w:rsidP="00414D4D">
            <w:pPr>
              <w:ind w:left="-250" w:right="136"/>
              <w:jc w:val="right"/>
              <w:rPr>
                <w:szCs w:val="24"/>
              </w:rPr>
            </w:pPr>
            <w:r w:rsidRPr="00F3445B">
              <w:rPr>
                <w:szCs w:val="24"/>
              </w:rPr>
              <w:t>40</w:t>
            </w:r>
          </w:p>
        </w:tc>
        <w:tc>
          <w:tcPr>
            <w:tcW w:w="947" w:type="dxa"/>
            <w:tcMar>
              <w:bottom w:w="142" w:type="dxa"/>
            </w:tcMar>
            <w:vAlign w:val="bottom"/>
          </w:tcPr>
          <w:p w:rsidR="00357368" w:rsidRPr="00F3445B" w:rsidRDefault="00357368" w:rsidP="00414D4D">
            <w:pPr>
              <w:ind w:left="-352" w:right="227"/>
              <w:jc w:val="right"/>
              <w:rPr>
                <w:szCs w:val="24"/>
              </w:rPr>
            </w:pPr>
            <w:r w:rsidRPr="00F3445B">
              <w:rPr>
                <w:szCs w:val="24"/>
              </w:rPr>
              <w:t>24</w:t>
            </w:r>
          </w:p>
        </w:tc>
        <w:tc>
          <w:tcPr>
            <w:tcW w:w="1006" w:type="dxa"/>
            <w:tcMar>
              <w:bottom w:w="142" w:type="dxa"/>
            </w:tcMar>
            <w:vAlign w:val="bottom"/>
          </w:tcPr>
          <w:p w:rsidR="00357368" w:rsidRPr="00F3445B" w:rsidRDefault="00357368" w:rsidP="00414D4D">
            <w:pPr>
              <w:ind w:left="-302" w:right="234"/>
              <w:jc w:val="right"/>
              <w:rPr>
                <w:szCs w:val="24"/>
              </w:rPr>
            </w:pPr>
            <w:r w:rsidRPr="00F3445B">
              <w:rPr>
                <w:szCs w:val="24"/>
              </w:rPr>
              <w:t>135</w:t>
            </w:r>
          </w:p>
        </w:tc>
        <w:tc>
          <w:tcPr>
            <w:tcW w:w="1048" w:type="dxa"/>
            <w:tcMar>
              <w:bottom w:w="142" w:type="dxa"/>
            </w:tcMar>
            <w:vAlign w:val="bottom"/>
          </w:tcPr>
          <w:p w:rsidR="00357368" w:rsidRPr="00F3445B" w:rsidRDefault="00357368" w:rsidP="00414D4D">
            <w:pPr>
              <w:ind w:left="-308" w:right="284" w:hanging="141"/>
              <w:jc w:val="right"/>
              <w:rPr>
                <w:szCs w:val="24"/>
              </w:rPr>
            </w:pPr>
            <w:r w:rsidRPr="00F3445B">
              <w:rPr>
                <w:szCs w:val="24"/>
              </w:rPr>
              <w:t>28</w:t>
            </w:r>
          </w:p>
        </w:tc>
        <w:tc>
          <w:tcPr>
            <w:tcW w:w="1339" w:type="dxa"/>
            <w:tcMar>
              <w:bottom w:w="142" w:type="dxa"/>
            </w:tcMar>
            <w:vAlign w:val="bottom"/>
          </w:tcPr>
          <w:p w:rsidR="00357368" w:rsidRPr="007119E0" w:rsidRDefault="00357368" w:rsidP="008E5443">
            <w:pPr>
              <w:ind w:right="359"/>
              <w:jc w:val="right"/>
              <w:rPr>
                <w:szCs w:val="24"/>
              </w:rPr>
            </w:pPr>
            <w:r w:rsidRPr="007119E0">
              <w:rPr>
                <w:szCs w:val="24"/>
              </w:rPr>
              <w:t>241</w:t>
            </w:r>
          </w:p>
        </w:tc>
      </w:tr>
      <w:tr w:rsidR="00357368" w:rsidRPr="007119E0" w:rsidTr="00414D4D">
        <w:trPr>
          <w:trHeight w:val="20"/>
          <w:jc w:val="center"/>
        </w:trPr>
        <w:tc>
          <w:tcPr>
            <w:tcW w:w="2532" w:type="dxa"/>
            <w:tcMar>
              <w:bottom w:w="142" w:type="dxa"/>
            </w:tcMar>
          </w:tcPr>
          <w:p w:rsidR="00357368" w:rsidRPr="00F3445B" w:rsidRDefault="00357368" w:rsidP="008E5443">
            <w:pPr>
              <w:rPr>
                <w:szCs w:val="24"/>
              </w:rPr>
            </w:pPr>
            <w:r w:rsidRPr="00F3445B">
              <w:rPr>
                <w:szCs w:val="24"/>
              </w:rPr>
              <w:t>Less Write Off</w:t>
            </w:r>
          </w:p>
        </w:tc>
        <w:tc>
          <w:tcPr>
            <w:tcW w:w="902" w:type="dxa"/>
            <w:tcMar>
              <w:bottom w:w="142" w:type="dxa"/>
            </w:tcMar>
          </w:tcPr>
          <w:p w:rsidR="00357368" w:rsidRPr="00F3445B" w:rsidRDefault="00357368" w:rsidP="00414D4D">
            <w:pPr>
              <w:ind w:left="-345" w:right="176" w:hanging="142"/>
              <w:jc w:val="right"/>
              <w:rPr>
                <w:szCs w:val="24"/>
              </w:rPr>
            </w:pPr>
            <w:r w:rsidRPr="00F3445B">
              <w:rPr>
                <w:szCs w:val="24"/>
              </w:rPr>
              <w:t>-</w:t>
            </w:r>
          </w:p>
        </w:tc>
        <w:tc>
          <w:tcPr>
            <w:tcW w:w="958" w:type="dxa"/>
            <w:tcMar>
              <w:bottom w:w="142" w:type="dxa"/>
            </w:tcMar>
          </w:tcPr>
          <w:p w:rsidR="00357368" w:rsidRPr="00F3445B" w:rsidRDefault="00357368" w:rsidP="00414D4D">
            <w:pPr>
              <w:ind w:left="-250" w:right="136"/>
              <w:jc w:val="right"/>
              <w:rPr>
                <w:szCs w:val="24"/>
              </w:rPr>
            </w:pPr>
            <w:r w:rsidRPr="00F3445B">
              <w:rPr>
                <w:szCs w:val="24"/>
              </w:rPr>
              <w:t>1</w:t>
            </w:r>
          </w:p>
        </w:tc>
        <w:tc>
          <w:tcPr>
            <w:tcW w:w="947" w:type="dxa"/>
            <w:tcMar>
              <w:bottom w:w="142" w:type="dxa"/>
            </w:tcMar>
          </w:tcPr>
          <w:p w:rsidR="00357368" w:rsidRPr="00F3445B" w:rsidRDefault="00357368" w:rsidP="00414D4D">
            <w:pPr>
              <w:ind w:left="-352" w:right="227"/>
              <w:jc w:val="right"/>
              <w:rPr>
                <w:szCs w:val="24"/>
              </w:rPr>
            </w:pPr>
            <w:r w:rsidRPr="00F3445B">
              <w:rPr>
                <w:szCs w:val="24"/>
              </w:rPr>
              <w:t>10</w:t>
            </w:r>
          </w:p>
        </w:tc>
        <w:tc>
          <w:tcPr>
            <w:tcW w:w="1006" w:type="dxa"/>
            <w:tcMar>
              <w:bottom w:w="142" w:type="dxa"/>
            </w:tcMar>
          </w:tcPr>
          <w:p w:rsidR="00357368" w:rsidRPr="00F3445B" w:rsidRDefault="00357368" w:rsidP="00414D4D">
            <w:pPr>
              <w:ind w:left="-302" w:right="234"/>
              <w:jc w:val="right"/>
              <w:rPr>
                <w:szCs w:val="24"/>
              </w:rPr>
            </w:pPr>
            <w:r w:rsidRPr="00F3445B">
              <w:rPr>
                <w:szCs w:val="24"/>
              </w:rPr>
              <w:t>29</w:t>
            </w:r>
          </w:p>
        </w:tc>
        <w:tc>
          <w:tcPr>
            <w:tcW w:w="1048" w:type="dxa"/>
            <w:tcMar>
              <w:bottom w:w="142" w:type="dxa"/>
            </w:tcMar>
          </w:tcPr>
          <w:p w:rsidR="00357368" w:rsidRPr="00F3445B" w:rsidRDefault="00357368" w:rsidP="00414D4D">
            <w:pPr>
              <w:ind w:left="-308" w:right="284" w:hanging="141"/>
              <w:jc w:val="right"/>
              <w:rPr>
                <w:szCs w:val="24"/>
              </w:rPr>
            </w:pPr>
            <w:r w:rsidRPr="00F3445B">
              <w:rPr>
                <w:szCs w:val="24"/>
              </w:rPr>
              <w:t>-</w:t>
            </w:r>
          </w:p>
        </w:tc>
        <w:tc>
          <w:tcPr>
            <w:tcW w:w="1339" w:type="dxa"/>
            <w:tcMar>
              <w:bottom w:w="142" w:type="dxa"/>
            </w:tcMar>
          </w:tcPr>
          <w:p w:rsidR="00357368" w:rsidRPr="007119E0" w:rsidRDefault="00357368" w:rsidP="008E5443">
            <w:pPr>
              <w:ind w:right="359"/>
              <w:jc w:val="right"/>
              <w:rPr>
                <w:szCs w:val="24"/>
              </w:rPr>
            </w:pPr>
            <w:r w:rsidRPr="007119E0">
              <w:rPr>
                <w:szCs w:val="24"/>
              </w:rPr>
              <w:t>40</w:t>
            </w:r>
          </w:p>
        </w:tc>
      </w:tr>
      <w:tr w:rsidR="00357368" w:rsidRPr="007119E0" w:rsidTr="00414D4D">
        <w:trPr>
          <w:trHeight w:val="20"/>
          <w:jc w:val="center"/>
        </w:trPr>
        <w:tc>
          <w:tcPr>
            <w:tcW w:w="2532" w:type="dxa"/>
            <w:tcMar>
              <w:bottom w:w="142" w:type="dxa"/>
            </w:tcMar>
          </w:tcPr>
          <w:p w:rsidR="00357368" w:rsidRPr="00F3445B" w:rsidRDefault="00357368" w:rsidP="008E5443">
            <w:pPr>
              <w:rPr>
                <w:szCs w:val="24"/>
              </w:rPr>
            </w:pPr>
            <w:r w:rsidRPr="00F3445B">
              <w:rPr>
                <w:szCs w:val="24"/>
              </w:rPr>
              <w:t>Less Collections</w:t>
            </w:r>
          </w:p>
        </w:tc>
        <w:tc>
          <w:tcPr>
            <w:tcW w:w="902" w:type="dxa"/>
            <w:tcMar>
              <w:bottom w:w="142" w:type="dxa"/>
            </w:tcMar>
          </w:tcPr>
          <w:p w:rsidR="00357368" w:rsidRPr="00F3445B" w:rsidRDefault="00357368" w:rsidP="00414D4D">
            <w:pPr>
              <w:ind w:left="-345" w:right="176" w:hanging="142"/>
              <w:jc w:val="right"/>
              <w:rPr>
                <w:szCs w:val="24"/>
              </w:rPr>
            </w:pPr>
            <w:r w:rsidRPr="00F3445B">
              <w:rPr>
                <w:szCs w:val="24"/>
              </w:rPr>
              <w:t>19</w:t>
            </w:r>
          </w:p>
        </w:tc>
        <w:tc>
          <w:tcPr>
            <w:tcW w:w="958" w:type="dxa"/>
            <w:tcMar>
              <w:bottom w:w="142" w:type="dxa"/>
            </w:tcMar>
          </w:tcPr>
          <w:p w:rsidR="00357368" w:rsidRPr="00F3445B" w:rsidRDefault="00357368" w:rsidP="00414D4D">
            <w:pPr>
              <w:ind w:left="-250" w:right="136"/>
              <w:jc w:val="right"/>
              <w:rPr>
                <w:szCs w:val="24"/>
              </w:rPr>
            </w:pPr>
            <w:r w:rsidRPr="00F3445B">
              <w:rPr>
                <w:szCs w:val="24"/>
              </w:rPr>
              <w:t>27</w:t>
            </w:r>
          </w:p>
        </w:tc>
        <w:tc>
          <w:tcPr>
            <w:tcW w:w="947" w:type="dxa"/>
            <w:tcMar>
              <w:bottom w:w="142" w:type="dxa"/>
            </w:tcMar>
          </w:tcPr>
          <w:p w:rsidR="00357368" w:rsidRPr="00F3445B" w:rsidRDefault="00357368" w:rsidP="00414D4D">
            <w:pPr>
              <w:ind w:left="-352" w:right="227"/>
              <w:jc w:val="right"/>
              <w:rPr>
                <w:szCs w:val="24"/>
              </w:rPr>
            </w:pPr>
            <w:r w:rsidRPr="00F3445B">
              <w:rPr>
                <w:szCs w:val="24"/>
              </w:rPr>
              <w:t>32</w:t>
            </w:r>
          </w:p>
        </w:tc>
        <w:tc>
          <w:tcPr>
            <w:tcW w:w="1006" w:type="dxa"/>
            <w:tcMar>
              <w:bottom w:w="142" w:type="dxa"/>
            </w:tcMar>
          </w:tcPr>
          <w:p w:rsidR="00357368" w:rsidRPr="00F3445B" w:rsidRDefault="00357368" w:rsidP="00414D4D">
            <w:pPr>
              <w:ind w:left="-302" w:right="234"/>
              <w:jc w:val="right"/>
              <w:rPr>
                <w:szCs w:val="24"/>
              </w:rPr>
            </w:pPr>
            <w:r w:rsidRPr="00F3445B">
              <w:rPr>
                <w:szCs w:val="24"/>
              </w:rPr>
              <w:t>30</w:t>
            </w:r>
          </w:p>
        </w:tc>
        <w:tc>
          <w:tcPr>
            <w:tcW w:w="1048" w:type="dxa"/>
            <w:tcMar>
              <w:bottom w:w="142" w:type="dxa"/>
            </w:tcMar>
          </w:tcPr>
          <w:p w:rsidR="00357368" w:rsidRPr="00F3445B" w:rsidRDefault="00357368" w:rsidP="00414D4D">
            <w:pPr>
              <w:ind w:left="-308" w:right="284" w:hanging="141"/>
              <w:jc w:val="right"/>
              <w:rPr>
                <w:szCs w:val="24"/>
              </w:rPr>
            </w:pPr>
            <w:r w:rsidRPr="00F3445B">
              <w:rPr>
                <w:szCs w:val="24"/>
              </w:rPr>
              <w:t>40</w:t>
            </w:r>
          </w:p>
        </w:tc>
        <w:tc>
          <w:tcPr>
            <w:tcW w:w="1339" w:type="dxa"/>
            <w:tcMar>
              <w:bottom w:w="142" w:type="dxa"/>
            </w:tcMar>
          </w:tcPr>
          <w:p w:rsidR="00357368" w:rsidRPr="007119E0" w:rsidRDefault="00357368" w:rsidP="008E5443">
            <w:pPr>
              <w:ind w:right="359"/>
              <w:jc w:val="right"/>
              <w:rPr>
                <w:szCs w:val="24"/>
              </w:rPr>
            </w:pPr>
            <w:r w:rsidRPr="007119E0">
              <w:rPr>
                <w:szCs w:val="24"/>
              </w:rPr>
              <w:t>148</w:t>
            </w:r>
          </w:p>
        </w:tc>
      </w:tr>
      <w:tr w:rsidR="00357368" w:rsidRPr="007119E0" w:rsidTr="00414D4D">
        <w:trPr>
          <w:trHeight w:val="20"/>
          <w:jc w:val="center"/>
        </w:trPr>
        <w:tc>
          <w:tcPr>
            <w:tcW w:w="2532" w:type="dxa"/>
            <w:tcMar>
              <w:bottom w:w="142" w:type="dxa"/>
            </w:tcMar>
          </w:tcPr>
          <w:p w:rsidR="00357368" w:rsidRPr="00F3445B" w:rsidRDefault="00357368" w:rsidP="008E5443">
            <w:pPr>
              <w:rPr>
                <w:b/>
                <w:i/>
                <w:szCs w:val="24"/>
              </w:rPr>
            </w:pPr>
            <w:r w:rsidRPr="00F3445B">
              <w:rPr>
                <w:b/>
                <w:i/>
                <w:szCs w:val="24"/>
              </w:rPr>
              <w:t>Sub total</w:t>
            </w:r>
          </w:p>
        </w:tc>
        <w:tc>
          <w:tcPr>
            <w:tcW w:w="902" w:type="dxa"/>
            <w:tcMar>
              <w:bottom w:w="142" w:type="dxa"/>
            </w:tcMar>
          </w:tcPr>
          <w:p w:rsidR="00357368" w:rsidRPr="00F3445B" w:rsidRDefault="00357368" w:rsidP="00414D4D">
            <w:pPr>
              <w:ind w:left="-345" w:right="176" w:hanging="142"/>
              <w:jc w:val="right"/>
              <w:rPr>
                <w:b/>
                <w:i/>
                <w:szCs w:val="24"/>
              </w:rPr>
            </w:pPr>
            <w:r w:rsidRPr="00F3445B">
              <w:rPr>
                <w:b/>
                <w:i/>
                <w:szCs w:val="24"/>
              </w:rPr>
              <w:t>180</w:t>
            </w:r>
          </w:p>
        </w:tc>
        <w:tc>
          <w:tcPr>
            <w:tcW w:w="958" w:type="dxa"/>
            <w:tcMar>
              <w:bottom w:w="142" w:type="dxa"/>
            </w:tcMar>
          </w:tcPr>
          <w:p w:rsidR="00357368" w:rsidRPr="00F3445B" w:rsidRDefault="00357368" w:rsidP="00414D4D">
            <w:pPr>
              <w:ind w:left="-250" w:right="136"/>
              <w:jc w:val="right"/>
              <w:rPr>
                <w:b/>
                <w:i/>
                <w:szCs w:val="24"/>
              </w:rPr>
            </w:pPr>
            <w:r w:rsidRPr="00F3445B">
              <w:rPr>
                <w:b/>
                <w:i/>
                <w:szCs w:val="24"/>
              </w:rPr>
              <w:t>222</w:t>
            </w:r>
          </w:p>
        </w:tc>
        <w:tc>
          <w:tcPr>
            <w:tcW w:w="947" w:type="dxa"/>
            <w:tcMar>
              <w:bottom w:w="142" w:type="dxa"/>
            </w:tcMar>
          </w:tcPr>
          <w:p w:rsidR="00357368" w:rsidRPr="00F3445B" w:rsidRDefault="00357368" w:rsidP="00414D4D">
            <w:pPr>
              <w:ind w:left="-352" w:right="227"/>
              <w:jc w:val="right"/>
              <w:rPr>
                <w:b/>
                <w:i/>
                <w:szCs w:val="24"/>
              </w:rPr>
            </w:pPr>
            <w:r w:rsidRPr="00F3445B">
              <w:rPr>
                <w:b/>
                <w:i/>
                <w:szCs w:val="24"/>
              </w:rPr>
              <w:t>265</w:t>
            </w:r>
          </w:p>
        </w:tc>
        <w:tc>
          <w:tcPr>
            <w:tcW w:w="1006" w:type="dxa"/>
            <w:tcMar>
              <w:bottom w:w="142" w:type="dxa"/>
            </w:tcMar>
          </w:tcPr>
          <w:p w:rsidR="00357368" w:rsidRPr="00F3445B" w:rsidRDefault="00357368" w:rsidP="00414D4D">
            <w:pPr>
              <w:ind w:left="-302" w:right="234"/>
              <w:jc w:val="right"/>
              <w:rPr>
                <w:b/>
                <w:i/>
                <w:szCs w:val="24"/>
              </w:rPr>
            </w:pPr>
            <w:r w:rsidRPr="00F3445B">
              <w:rPr>
                <w:b/>
                <w:i/>
                <w:szCs w:val="24"/>
              </w:rPr>
              <w:t>246</w:t>
            </w:r>
          </w:p>
        </w:tc>
        <w:tc>
          <w:tcPr>
            <w:tcW w:w="1048" w:type="dxa"/>
            <w:tcMar>
              <w:bottom w:w="142" w:type="dxa"/>
            </w:tcMar>
          </w:tcPr>
          <w:p w:rsidR="00357368" w:rsidRPr="00F3445B" w:rsidRDefault="00357368" w:rsidP="00414D4D">
            <w:pPr>
              <w:ind w:left="-308" w:right="284" w:hanging="141"/>
              <w:jc w:val="right"/>
              <w:rPr>
                <w:b/>
                <w:i/>
                <w:szCs w:val="24"/>
              </w:rPr>
            </w:pPr>
            <w:r w:rsidRPr="00F3445B">
              <w:rPr>
                <w:b/>
                <w:i/>
                <w:szCs w:val="24"/>
              </w:rPr>
              <w:t>291</w:t>
            </w:r>
          </w:p>
        </w:tc>
        <w:tc>
          <w:tcPr>
            <w:tcW w:w="1339" w:type="dxa"/>
            <w:tcMar>
              <w:bottom w:w="142" w:type="dxa"/>
            </w:tcMar>
          </w:tcPr>
          <w:p w:rsidR="00357368" w:rsidRPr="007119E0" w:rsidRDefault="00357368" w:rsidP="008E5443">
            <w:pPr>
              <w:ind w:right="359"/>
              <w:jc w:val="right"/>
              <w:rPr>
                <w:b/>
                <w:i/>
                <w:szCs w:val="24"/>
              </w:rPr>
            </w:pPr>
            <w:r w:rsidRPr="007119E0">
              <w:rPr>
                <w:b/>
                <w:i/>
                <w:szCs w:val="24"/>
              </w:rPr>
              <w:t>(216)</w:t>
            </w:r>
          </w:p>
        </w:tc>
      </w:tr>
      <w:tr w:rsidR="00357368" w:rsidRPr="007119E0" w:rsidTr="00414D4D">
        <w:trPr>
          <w:trHeight w:val="20"/>
          <w:jc w:val="center"/>
        </w:trPr>
        <w:tc>
          <w:tcPr>
            <w:tcW w:w="2532" w:type="dxa"/>
            <w:tcMar>
              <w:bottom w:w="142" w:type="dxa"/>
            </w:tcMar>
          </w:tcPr>
          <w:p w:rsidR="00357368" w:rsidRPr="00F3445B" w:rsidRDefault="00357368" w:rsidP="008E5443">
            <w:pPr>
              <w:rPr>
                <w:szCs w:val="24"/>
              </w:rPr>
            </w:pPr>
            <w:r w:rsidRPr="00F3445B">
              <w:rPr>
                <w:szCs w:val="24"/>
              </w:rPr>
              <w:t>New Debtors</w:t>
            </w:r>
          </w:p>
        </w:tc>
        <w:tc>
          <w:tcPr>
            <w:tcW w:w="902" w:type="dxa"/>
            <w:tcMar>
              <w:bottom w:w="142" w:type="dxa"/>
            </w:tcMar>
          </w:tcPr>
          <w:p w:rsidR="00357368" w:rsidRPr="00F3445B" w:rsidRDefault="00357368" w:rsidP="00414D4D">
            <w:pPr>
              <w:ind w:left="-345" w:right="176" w:hanging="142"/>
              <w:jc w:val="right"/>
              <w:rPr>
                <w:szCs w:val="24"/>
              </w:rPr>
            </w:pPr>
            <w:r w:rsidRPr="00F3445B">
              <w:rPr>
                <w:szCs w:val="24"/>
              </w:rPr>
              <w:t>110</w:t>
            </w:r>
          </w:p>
        </w:tc>
        <w:tc>
          <w:tcPr>
            <w:tcW w:w="958" w:type="dxa"/>
            <w:tcMar>
              <w:bottom w:w="142" w:type="dxa"/>
            </w:tcMar>
          </w:tcPr>
          <w:p w:rsidR="00357368" w:rsidRPr="00F3445B" w:rsidRDefault="00357368" w:rsidP="00414D4D">
            <w:pPr>
              <w:ind w:left="-250" w:right="136"/>
              <w:jc w:val="right"/>
              <w:rPr>
                <w:szCs w:val="24"/>
              </w:rPr>
            </w:pPr>
            <w:r w:rsidRPr="00F3445B">
              <w:rPr>
                <w:szCs w:val="24"/>
              </w:rPr>
              <w:t>109</w:t>
            </w:r>
          </w:p>
        </w:tc>
        <w:tc>
          <w:tcPr>
            <w:tcW w:w="947" w:type="dxa"/>
            <w:tcMar>
              <w:bottom w:w="142" w:type="dxa"/>
            </w:tcMar>
          </w:tcPr>
          <w:p w:rsidR="00357368" w:rsidRPr="00F3445B" w:rsidRDefault="00357368" w:rsidP="00414D4D">
            <w:pPr>
              <w:ind w:left="-352" w:right="227"/>
              <w:jc w:val="right"/>
              <w:rPr>
                <w:szCs w:val="24"/>
              </w:rPr>
            </w:pPr>
            <w:r w:rsidRPr="00F3445B">
              <w:rPr>
                <w:szCs w:val="24"/>
              </w:rPr>
              <w:t>175</w:t>
            </w:r>
          </w:p>
        </w:tc>
        <w:tc>
          <w:tcPr>
            <w:tcW w:w="1006" w:type="dxa"/>
            <w:tcMar>
              <w:bottom w:w="142" w:type="dxa"/>
            </w:tcMar>
          </w:tcPr>
          <w:p w:rsidR="00357368" w:rsidRPr="00F3445B" w:rsidRDefault="00357368" w:rsidP="00414D4D">
            <w:pPr>
              <w:ind w:left="-302" w:right="234"/>
              <w:jc w:val="right"/>
              <w:rPr>
                <w:szCs w:val="24"/>
              </w:rPr>
            </w:pPr>
            <w:r w:rsidRPr="00F3445B">
              <w:rPr>
                <w:szCs w:val="24"/>
              </w:rPr>
              <w:t>113</w:t>
            </w:r>
          </w:p>
        </w:tc>
        <w:tc>
          <w:tcPr>
            <w:tcW w:w="1048" w:type="dxa"/>
            <w:tcMar>
              <w:bottom w:w="142" w:type="dxa"/>
            </w:tcMar>
          </w:tcPr>
          <w:p w:rsidR="00357368" w:rsidRPr="00F3445B" w:rsidRDefault="00357368" w:rsidP="00414D4D">
            <w:pPr>
              <w:ind w:left="-308" w:right="284" w:hanging="141"/>
              <w:jc w:val="right"/>
              <w:rPr>
                <w:szCs w:val="24"/>
              </w:rPr>
            </w:pPr>
            <w:r w:rsidRPr="00F3445B">
              <w:rPr>
                <w:szCs w:val="24"/>
              </w:rPr>
              <w:t xml:space="preserve"> 78</w:t>
            </w:r>
          </w:p>
        </w:tc>
        <w:tc>
          <w:tcPr>
            <w:tcW w:w="1339" w:type="dxa"/>
            <w:tcMar>
              <w:bottom w:w="142" w:type="dxa"/>
            </w:tcMar>
          </w:tcPr>
          <w:p w:rsidR="00357368" w:rsidRPr="007119E0" w:rsidRDefault="00357368" w:rsidP="008E5443">
            <w:pPr>
              <w:ind w:right="359"/>
              <w:jc w:val="right"/>
              <w:rPr>
                <w:szCs w:val="24"/>
              </w:rPr>
            </w:pPr>
            <w:r w:rsidRPr="007119E0">
              <w:rPr>
                <w:szCs w:val="24"/>
              </w:rPr>
              <w:t>585</w:t>
            </w:r>
          </w:p>
        </w:tc>
      </w:tr>
      <w:tr w:rsidR="00357368" w:rsidRPr="007119E0" w:rsidTr="00414D4D">
        <w:trPr>
          <w:trHeight w:val="20"/>
          <w:jc w:val="center"/>
        </w:trPr>
        <w:tc>
          <w:tcPr>
            <w:tcW w:w="2532" w:type="dxa"/>
            <w:tcMar>
              <w:bottom w:w="142" w:type="dxa"/>
            </w:tcMar>
          </w:tcPr>
          <w:p w:rsidR="00357368" w:rsidRPr="00D54927" w:rsidRDefault="00357368" w:rsidP="008E5443">
            <w:pPr>
              <w:rPr>
                <w:b/>
                <w:sz w:val="22"/>
              </w:rPr>
            </w:pPr>
            <w:r w:rsidRPr="00D54927">
              <w:rPr>
                <w:b/>
                <w:sz w:val="22"/>
              </w:rPr>
              <w:t>Balance 31 Dec /30 June</w:t>
            </w:r>
          </w:p>
        </w:tc>
        <w:tc>
          <w:tcPr>
            <w:tcW w:w="902" w:type="dxa"/>
            <w:tcMar>
              <w:bottom w:w="142" w:type="dxa"/>
            </w:tcMar>
          </w:tcPr>
          <w:p w:rsidR="00357368" w:rsidRPr="00D54927" w:rsidRDefault="00357368" w:rsidP="00414D4D">
            <w:pPr>
              <w:ind w:left="-345" w:right="176" w:hanging="142"/>
              <w:jc w:val="right"/>
              <w:rPr>
                <w:b/>
                <w:sz w:val="22"/>
              </w:rPr>
            </w:pPr>
            <w:r w:rsidRPr="00D54927">
              <w:rPr>
                <w:b/>
                <w:sz w:val="22"/>
              </w:rPr>
              <w:t>290</w:t>
            </w:r>
          </w:p>
        </w:tc>
        <w:tc>
          <w:tcPr>
            <w:tcW w:w="958" w:type="dxa"/>
            <w:tcMar>
              <w:bottom w:w="142" w:type="dxa"/>
            </w:tcMar>
          </w:tcPr>
          <w:p w:rsidR="00357368" w:rsidRPr="00D54927" w:rsidRDefault="00357368" w:rsidP="00414D4D">
            <w:pPr>
              <w:ind w:left="-250" w:right="136"/>
              <w:jc w:val="right"/>
              <w:rPr>
                <w:b/>
                <w:sz w:val="22"/>
              </w:rPr>
            </w:pPr>
            <w:r w:rsidRPr="00D54927">
              <w:rPr>
                <w:b/>
                <w:sz w:val="22"/>
              </w:rPr>
              <w:t>331</w:t>
            </w:r>
          </w:p>
        </w:tc>
        <w:tc>
          <w:tcPr>
            <w:tcW w:w="947" w:type="dxa"/>
            <w:tcMar>
              <w:bottom w:w="142" w:type="dxa"/>
            </w:tcMar>
          </w:tcPr>
          <w:p w:rsidR="00357368" w:rsidRPr="00D54927" w:rsidRDefault="00357368" w:rsidP="00414D4D">
            <w:pPr>
              <w:ind w:left="-352" w:right="227"/>
              <w:jc w:val="right"/>
              <w:rPr>
                <w:b/>
                <w:sz w:val="22"/>
              </w:rPr>
            </w:pPr>
            <w:r w:rsidRPr="00D54927">
              <w:rPr>
                <w:b/>
                <w:sz w:val="22"/>
              </w:rPr>
              <w:t>440</w:t>
            </w:r>
          </w:p>
        </w:tc>
        <w:tc>
          <w:tcPr>
            <w:tcW w:w="1006" w:type="dxa"/>
            <w:tcMar>
              <w:bottom w:w="142" w:type="dxa"/>
            </w:tcMar>
          </w:tcPr>
          <w:p w:rsidR="00357368" w:rsidRPr="00D54927" w:rsidRDefault="00357368" w:rsidP="00414D4D">
            <w:pPr>
              <w:ind w:left="-302" w:right="234"/>
              <w:jc w:val="right"/>
              <w:rPr>
                <w:b/>
                <w:sz w:val="22"/>
              </w:rPr>
            </w:pPr>
            <w:r w:rsidRPr="00D54927">
              <w:rPr>
                <w:b/>
                <w:sz w:val="22"/>
              </w:rPr>
              <w:t>359</w:t>
            </w:r>
          </w:p>
        </w:tc>
        <w:tc>
          <w:tcPr>
            <w:tcW w:w="1048" w:type="dxa"/>
            <w:tcMar>
              <w:bottom w:w="142" w:type="dxa"/>
            </w:tcMar>
          </w:tcPr>
          <w:p w:rsidR="00357368" w:rsidRPr="00D54927" w:rsidRDefault="00357368" w:rsidP="00414D4D">
            <w:pPr>
              <w:ind w:left="-308" w:right="284" w:hanging="141"/>
              <w:jc w:val="right"/>
              <w:rPr>
                <w:b/>
                <w:sz w:val="22"/>
              </w:rPr>
            </w:pPr>
            <w:r w:rsidRPr="00D54927">
              <w:rPr>
                <w:b/>
                <w:sz w:val="22"/>
              </w:rPr>
              <w:t>369</w:t>
            </w:r>
          </w:p>
        </w:tc>
        <w:tc>
          <w:tcPr>
            <w:tcW w:w="1339" w:type="dxa"/>
            <w:tcMar>
              <w:bottom w:w="142" w:type="dxa"/>
            </w:tcMar>
          </w:tcPr>
          <w:p w:rsidR="00357368" w:rsidRPr="00D54927" w:rsidRDefault="00357368" w:rsidP="008E5443">
            <w:pPr>
              <w:ind w:right="359"/>
              <w:jc w:val="right"/>
              <w:rPr>
                <w:b/>
                <w:sz w:val="22"/>
              </w:rPr>
            </w:pPr>
            <w:r w:rsidRPr="00D54927">
              <w:rPr>
                <w:b/>
                <w:sz w:val="22"/>
              </w:rPr>
              <w:t>369</w:t>
            </w:r>
          </w:p>
        </w:tc>
      </w:tr>
    </w:tbl>
    <w:p w:rsidR="00067FDF" w:rsidRDefault="00067FDF" w:rsidP="00357368">
      <w:pPr>
        <w:spacing w:after="0" w:line="240" w:lineRule="auto"/>
        <w:rPr>
          <w:i/>
          <w:szCs w:val="24"/>
        </w:rPr>
      </w:pPr>
      <w:r>
        <w:rPr>
          <w:i/>
          <w:szCs w:val="24"/>
        </w:rPr>
        <w:t>___________________________________________</w:t>
      </w:r>
      <w:r w:rsidR="000A07DA">
        <w:rPr>
          <w:i/>
          <w:szCs w:val="24"/>
        </w:rPr>
        <w:t>_____________________________</w:t>
      </w:r>
    </w:p>
    <w:p w:rsidR="00357368" w:rsidRPr="00CF108C" w:rsidRDefault="00357368" w:rsidP="00357368">
      <w:pPr>
        <w:spacing w:after="0" w:line="240" w:lineRule="auto"/>
        <w:rPr>
          <w:i/>
          <w:sz w:val="20"/>
          <w:szCs w:val="20"/>
        </w:rPr>
      </w:pPr>
      <w:r w:rsidRPr="00CF108C">
        <w:rPr>
          <w:i/>
          <w:sz w:val="20"/>
          <w:szCs w:val="20"/>
        </w:rPr>
        <w:t xml:space="preserve">Source: Return of Arrears of Revenue </w:t>
      </w:r>
    </w:p>
    <w:p w:rsidR="00357368" w:rsidRPr="004967C7" w:rsidRDefault="00357368" w:rsidP="00357368">
      <w:pPr>
        <w:spacing w:after="0" w:line="240" w:lineRule="auto"/>
        <w:rPr>
          <w:b/>
          <w:i/>
          <w:sz w:val="20"/>
          <w:szCs w:val="20"/>
        </w:rPr>
      </w:pPr>
    </w:p>
    <w:p w:rsidR="00357368" w:rsidRPr="00413BF1" w:rsidRDefault="00357368" w:rsidP="00B628CB">
      <w:pPr>
        <w:pStyle w:val="ListParagraph"/>
        <w:numPr>
          <w:ilvl w:val="0"/>
          <w:numId w:val="13"/>
        </w:numPr>
        <w:spacing w:after="0" w:line="240" w:lineRule="auto"/>
        <w:ind w:left="360"/>
        <w:jc w:val="both"/>
        <w:rPr>
          <w:strike/>
          <w:szCs w:val="24"/>
        </w:rPr>
      </w:pPr>
      <w:r w:rsidRPr="00413BF1">
        <w:rPr>
          <w:szCs w:val="24"/>
        </w:rPr>
        <w:t xml:space="preserve">The debtors’ position has not much improved over the past </w:t>
      </w:r>
      <w:r>
        <w:rPr>
          <w:szCs w:val="24"/>
        </w:rPr>
        <w:t xml:space="preserve">66 months as shown in Table </w:t>
      </w:r>
      <w:r w:rsidR="002B34E8">
        <w:rPr>
          <w:szCs w:val="24"/>
        </w:rPr>
        <w:t>6-18</w:t>
      </w:r>
      <w:r>
        <w:rPr>
          <w:szCs w:val="24"/>
        </w:rPr>
        <w:t>.</w:t>
      </w:r>
      <w:r w:rsidRPr="00413BF1">
        <w:rPr>
          <w:szCs w:val="24"/>
        </w:rPr>
        <w:t xml:space="preserve"> </w:t>
      </w:r>
      <w:r>
        <w:rPr>
          <w:szCs w:val="24"/>
        </w:rPr>
        <w:t>D</w:t>
      </w:r>
      <w:r w:rsidRPr="00413BF1">
        <w:rPr>
          <w:szCs w:val="24"/>
        </w:rPr>
        <w:t>ebtors</w:t>
      </w:r>
      <w:r>
        <w:rPr>
          <w:szCs w:val="24"/>
        </w:rPr>
        <w:t>’</w:t>
      </w:r>
      <w:r w:rsidRPr="00413BF1">
        <w:rPr>
          <w:szCs w:val="24"/>
        </w:rPr>
        <w:t xml:space="preserve"> balances have increased from Rs 213 million to Rs 369 million </w:t>
      </w:r>
      <w:r>
        <w:rPr>
          <w:szCs w:val="24"/>
        </w:rPr>
        <w:t>between</w:t>
      </w:r>
      <w:r w:rsidRPr="00413BF1">
        <w:rPr>
          <w:szCs w:val="24"/>
        </w:rPr>
        <w:t xml:space="preserve"> January 2012 and June 2017</w:t>
      </w:r>
      <w:r>
        <w:rPr>
          <w:szCs w:val="24"/>
        </w:rPr>
        <w:t>.</w:t>
      </w:r>
      <w:r w:rsidR="00D67A2B">
        <w:rPr>
          <w:szCs w:val="24"/>
        </w:rPr>
        <w:t xml:space="preserve"> </w:t>
      </w:r>
      <w:r>
        <w:rPr>
          <w:szCs w:val="24"/>
        </w:rPr>
        <w:t>O</w:t>
      </w:r>
      <w:r w:rsidRPr="00413BF1">
        <w:rPr>
          <w:szCs w:val="24"/>
        </w:rPr>
        <w:t>ut of the new debtors of Rs 585 million</w:t>
      </w:r>
      <w:r>
        <w:rPr>
          <w:szCs w:val="24"/>
        </w:rPr>
        <w:t>, some</w:t>
      </w:r>
      <w:r w:rsidRPr="00413BF1">
        <w:rPr>
          <w:szCs w:val="24"/>
        </w:rPr>
        <w:t xml:space="preserve"> Rs 148 million w</w:t>
      </w:r>
      <w:r>
        <w:rPr>
          <w:szCs w:val="24"/>
        </w:rPr>
        <w:t>ere</w:t>
      </w:r>
      <w:r w:rsidRPr="00413BF1">
        <w:rPr>
          <w:szCs w:val="24"/>
        </w:rPr>
        <w:t xml:space="preserve"> recovered</w:t>
      </w:r>
      <w:r>
        <w:rPr>
          <w:szCs w:val="24"/>
        </w:rPr>
        <w:t xml:space="preserve">, and </w:t>
      </w:r>
      <w:r w:rsidRPr="00413BF1">
        <w:rPr>
          <w:szCs w:val="24"/>
        </w:rPr>
        <w:t xml:space="preserve">adjustments due to either write-off or objections lodged </w:t>
      </w:r>
      <w:proofErr w:type="spellStart"/>
      <w:r w:rsidRPr="00413BF1">
        <w:rPr>
          <w:szCs w:val="24"/>
        </w:rPr>
        <w:t>to</w:t>
      </w:r>
      <w:r>
        <w:rPr>
          <w:szCs w:val="24"/>
        </w:rPr>
        <w:t>talled</w:t>
      </w:r>
      <w:proofErr w:type="spellEnd"/>
      <w:r w:rsidRPr="00413BF1">
        <w:rPr>
          <w:szCs w:val="24"/>
        </w:rPr>
        <w:t xml:space="preserve"> Rs 281 million</w:t>
      </w:r>
      <w:r>
        <w:rPr>
          <w:szCs w:val="24"/>
        </w:rPr>
        <w:t>;</w:t>
      </w:r>
    </w:p>
    <w:p w:rsidR="00357368" w:rsidRPr="00413BF1" w:rsidRDefault="00357368" w:rsidP="00357368">
      <w:pPr>
        <w:pStyle w:val="ListParagraph"/>
        <w:spacing w:after="0" w:line="240" w:lineRule="auto"/>
        <w:ind w:left="360"/>
        <w:jc w:val="both"/>
        <w:rPr>
          <w:strike/>
          <w:szCs w:val="24"/>
        </w:rPr>
      </w:pPr>
    </w:p>
    <w:p w:rsidR="00357368" w:rsidRPr="00CE7F63" w:rsidRDefault="00357368" w:rsidP="00B628CB">
      <w:pPr>
        <w:pStyle w:val="ListParagraph"/>
        <w:numPr>
          <w:ilvl w:val="0"/>
          <w:numId w:val="13"/>
        </w:numPr>
        <w:spacing w:after="0" w:line="240" w:lineRule="auto"/>
        <w:ind w:left="360"/>
        <w:jc w:val="both"/>
        <w:rPr>
          <w:szCs w:val="24"/>
        </w:rPr>
      </w:pPr>
      <w:r w:rsidRPr="005E181D">
        <w:rPr>
          <w:szCs w:val="24"/>
        </w:rPr>
        <w:t xml:space="preserve">Between </w:t>
      </w:r>
      <w:r>
        <w:rPr>
          <w:szCs w:val="24"/>
        </w:rPr>
        <w:t xml:space="preserve">1 </w:t>
      </w:r>
      <w:r w:rsidRPr="005E181D">
        <w:rPr>
          <w:szCs w:val="24"/>
        </w:rPr>
        <w:t xml:space="preserve">July 2016 and </w:t>
      </w:r>
      <w:r>
        <w:rPr>
          <w:szCs w:val="24"/>
        </w:rPr>
        <w:t xml:space="preserve">30 </w:t>
      </w:r>
      <w:r w:rsidRPr="005E181D">
        <w:rPr>
          <w:szCs w:val="24"/>
        </w:rPr>
        <w:t xml:space="preserve">June 2017, arrears of revenue have increased from </w:t>
      </w:r>
      <w:r w:rsidR="00037804">
        <w:rPr>
          <w:szCs w:val="24"/>
        </w:rPr>
        <w:br/>
      </w:r>
      <w:r w:rsidRPr="005E181D">
        <w:rPr>
          <w:szCs w:val="24"/>
        </w:rPr>
        <w:t>Rs 359 million to Rs 369 million. New debtors amounted to Rs 78 million whereas only Rs 40 million w</w:t>
      </w:r>
      <w:r>
        <w:rPr>
          <w:szCs w:val="24"/>
        </w:rPr>
        <w:t>ere</w:t>
      </w:r>
      <w:r w:rsidRPr="005E181D">
        <w:rPr>
          <w:szCs w:val="24"/>
        </w:rPr>
        <w:t xml:space="preserve"> recovered. As at 30 June 2017, some Rs 159.3 million </w:t>
      </w:r>
      <w:r>
        <w:rPr>
          <w:szCs w:val="24"/>
        </w:rPr>
        <w:t>were</w:t>
      </w:r>
      <w:r w:rsidRPr="005E181D">
        <w:rPr>
          <w:szCs w:val="24"/>
        </w:rPr>
        <w:t xml:space="preserve"> long overdue for m</w:t>
      </w:r>
      <w:r>
        <w:rPr>
          <w:szCs w:val="24"/>
        </w:rPr>
        <w:t xml:space="preserve">ore than four and a half years; </w:t>
      </w:r>
    </w:p>
    <w:p w:rsidR="00357368" w:rsidRDefault="00357368" w:rsidP="00357368">
      <w:pPr>
        <w:pStyle w:val="ListParagraph"/>
        <w:spacing w:after="0" w:line="240" w:lineRule="auto"/>
        <w:ind w:left="360"/>
        <w:jc w:val="both"/>
        <w:rPr>
          <w:szCs w:val="24"/>
        </w:rPr>
      </w:pPr>
    </w:p>
    <w:p w:rsidR="00357368" w:rsidRPr="00F3445B" w:rsidRDefault="00357368" w:rsidP="00B628CB">
      <w:pPr>
        <w:pStyle w:val="ListParagraph"/>
        <w:numPr>
          <w:ilvl w:val="0"/>
          <w:numId w:val="13"/>
        </w:numPr>
        <w:spacing w:after="0" w:line="240" w:lineRule="auto"/>
        <w:ind w:left="360"/>
        <w:jc w:val="both"/>
        <w:rPr>
          <w:szCs w:val="24"/>
        </w:rPr>
      </w:pPr>
      <w:proofErr w:type="spellStart"/>
      <w:r w:rsidRPr="009400BC">
        <w:rPr>
          <w:szCs w:val="24"/>
        </w:rPr>
        <w:t>Campement</w:t>
      </w:r>
      <w:proofErr w:type="spellEnd"/>
      <w:r w:rsidRPr="009400BC">
        <w:rPr>
          <w:szCs w:val="24"/>
        </w:rPr>
        <w:t xml:space="preserve"> Owners </w:t>
      </w:r>
      <w:r>
        <w:rPr>
          <w:szCs w:val="24"/>
        </w:rPr>
        <w:t xml:space="preserve">owed some </w:t>
      </w:r>
      <w:r w:rsidRPr="009400BC">
        <w:rPr>
          <w:szCs w:val="24"/>
        </w:rPr>
        <w:t>Rs 17.6 million as at 30 June 2017.</w:t>
      </w:r>
      <w:r>
        <w:rPr>
          <w:szCs w:val="24"/>
        </w:rPr>
        <w:t xml:space="preserve"> </w:t>
      </w:r>
      <w:r w:rsidRPr="009400BC">
        <w:rPr>
          <w:szCs w:val="24"/>
        </w:rPr>
        <w:t>Only an amount of Rs 1.4 million ha</w:t>
      </w:r>
      <w:r>
        <w:rPr>
          <w:szCs w:val="24"/>
        </w:rPr>
        <w:t>d</w:t>
      </w:r>
      <w:r w:rsidRPr="009400BC">
        <w:rPr>
          <w:szCs w:val="24"/>
        </w:rPr>
        <w:t xml:space="preserve"> been recovered from </w:t>
      </w:r>
      <w:r>
        <w:rPr>
          <w:szCs w:val="24"/>
        </w:rPr>
        <w:t xml:space="preserve">them during </w:t>
      </w:r>
      <w:r w:rsidRPr="009400BC">
        <w:rPr>
          <w:szCs w:val="24"/>
        </w:rPr>
        <w:t>2016</w:t>
      </w:r>
      <w:r>
        <w:rPr>
          <w:szCs w:val="24"/>
        </w:rPr>
        <w:t>-</w:t>
      </w:r>
      <w:r w:rsidRPr="009400BC">
        <w:rPr>
          <w:szCs w:val="24"/>
        </w:rPr>
        <w:t xml:space="preserve">17. </w:t>
      </w:r>
      <w:r>
        <w:rPr>
          <w:szCs w:val="24"/>
        </w:rPr>
        <w:t>S</w:t>
      </w:r>
      <w:r w:rsidRPr="009400BC">
        <w:rPr>
          <w:szCs w:val="24"/>
        </w:rPr>
        <w:t xml:space="preserve">ome Rs 6.8 million </w:t>
      </w:r>
      <w:r w:rsidRPr="009400BC">
        <w:rPr>
          <w:szCs w:val="24"/>
        </w:rPr>
        <w:lastRenderedPageBreak/>
        <w:t>w</w:t>
      </w:r>
      <w:r>
        <w:rPr>
          <w:szCs w:val="24"/>
        </w:rPr>
        <w:t>ere</w:t>
      </w:r>
      <w:r w:rsidRPr="009400BC">
        <w:rPr>
          <w:szCs w:val="24"/>
        </w:rPr>
        <w:t xml:space="preserve"> outstanding for more than 10 years</w:t>
      </w:r>
      <w:r>
        <w:rPr>
          <w:szCs w:val="24"/>
        </w:rPr>
        <w:t>,</w:t>
      </w:r>
      <w:r w:rsidRPr="009400BC">
        <w:rPr>
          <w:szCs w:val="24"/>
        </w:rPr>
        <w:t xml:space="preserve"> </w:t>
      </w:r>
      <w:r>
        <w:rPr>
          <w:szCs w:val="24"/>
        </w:rPr>
        <w:t>for which</w:t>
      </w:r>
      <w:r w:rsidRPr="009400BC">
        <w:rPr>
          <w:szCs w:val="24"/>
        </w:rPr>
        <w:t xml:space="preserve"> no payment was rec</w:t>
      </w:r>
      <w:r>
        <w:rPr>
          <w:szCs w:val="24"/>
        </w:rPr>
        <w:t>eived in</w:t>
      </w:r>
      <w:r w:rsidRPr="009400BC">
        <w:rPr>
          <w:szCs w:val="24"/>
        </w:rPr>
        <w:t xml:space="preserve"> </w:t>
      </w:r>
      <w:r w:rsidR="00D54927">
        <w:rPr>
          <w:szCs w:val="24"/>
        </w:rPr>
        <w:br/>
      </w:r>
      <w:r w:rsidRPr="009400BC">
        <w:rPr>
          <w:szCs w:val="24"/>
        </w:rPr>
        <w:t>201</w:t>
      </w:r>
      <w:r>
        <w:rPr>
          <w:szCs w:val="24"/>
        </w:rPr>
        <w:t>6-1</w:t>
      </w:r>
      <w:r w:rsidRPr="009400BC">
        <w:rPr>
          <w:szCs w:val="24"/>
        </w:rPr>
        <w:t>7</w:t>
      </w:r>
      <w:r>
        <w:rPr>
          <w:szCs w:val="24"/>
        </w:rPr>
        <w:t>;</w:t>
      </w:r>
      <w:r w:rsidRPr="009400BC">
        <w:rPr>
          <w:szCs w:val="24"/>
        </w:rPr>
        <w:t xml:space="preserve"> </w:t>
      </w:r>
    </w:p>
    <w:p w:rsidR="00357368" w:rsidRPr="00CE7F63" w:rsidRDefault="00357368" w:rsidP="00357368">
      <w:pPr>
        <w:pStyle w:val="ListParagraph"/>
        <w:spacing w:after="0" w:line="240" w:lineRule="auto"/>
        <w:ind w:left="360"/>
        <w:jc w:val="both"/>
        <w:rPr>
          <w:b/>
          <w:szCs w:val="24"/>
        </w:rPr>
      </w:pPr>
    </w:p>
    <w:p w:rsidR="00357368" w:rsidRPr="003977E3" w:rsidRDefault="00357368" w:rsidP="00B628CB">
      <w:pPr>
        <w:pStyle w:val="ListParagraph"/>
        <w:numPr>
          <w:ilvl w:val="0"/>
          <w:numId w:val="17"/>
        </w:numPr>
        <w:spacing w:after="0" w:line="240" w:lineRule="auto"/>
        <w:ind w:left="360"/>
        <w:jc w:val="both"/>
        <w:rPr>
          <w:b/>
          <w:szCs w:val="24"/>
        </w:rPr>
      </w:pPr>
      <w:r w:rsidRPr="003977E3">
        <w:rPr>
          <w:szCs w:val="24"/>
        </w:rPr>
        <w:t>Debtors’ balances of some Rs 287.9 million as at 30 June 2017</w:t>
      </w:r>
      <w:r>
        <w:rPr>
          <w:szCs w:val="24"/>
        </w:rPr>
        <w:t xml:space="preserve"> </w:t>
      </w:r>
      <w:r w:rsidRPr="003977E3">
        <w:rPr>
          <w:szCs w:val="24"/>
        </w:rPr>
        <w:t xml:space="preserve">were being kept manually. No detailed list was available for the remaining debtors’ balances </w:t>
      </w:r>
      <w:proofErr w:type="spellStart"/>
      <w:r w:rsidRPr="003977E3">
        <w:rPr>
          <w:szCs w:val="24"/>
        </w:rPr>
        <w:t>totalling</w:t>
      </w:r>
      <w:proofErr w:type="spellEnd"/>
      <w:r w:rsidRPr="003977E3">
        <w:rPr>
          <w:szCs w:val="24"/>
        </w:rPr>
        <w:t xml:space="preserve"> Rs 81.4 million, processed in the </w:t>
      </w:r>
      <w:proofErr w:type="spellStart"/>
      <w:r w:rsidRPr="003977E3">
        <w:rPr>
          <w:szCs w:val="24"/>
        </w:rPr>
        <w:t>MeRP</w:t>
      </w:r>
      <w:proofErr w:type="spellEnd"/>
      <w:r w:rsidRPr="003977E3">
        <w:rPr>
          <w:szCs w:val="24"/>
        </w:rPr>
        <w:t xml:space="preserve"> </w:t>
      </w:r>
      <w:proofErr w:type="spellStart"/>
      <w:r w:rsidRPr="003977E3">
        <w:rPr>
          <w:szCs w:val="24"/>
        </w:rPr>
        <w:t>computerised</w:t>
      </w:r>
      <w:proofErr w:type="spellEnd"/>
      <w:r w:rsidRPr="003977E3">
        <w:rPr>
          <w:szCs w:val="24"/>
        </w:rPr>
        <w:t xml:space="preserve"> system;</w:t>
      </w:r>
    </w:p>
    <w:p w:rsidR="00357368" w:rsidRPr="00BF1C10" w:rsidRDefault="00357368" w:rsidP="00357368">
      <w:pPr>
        <w:pStyle w:val="ListParagraph"/>
        <w:spacing w:after="0" w:line="240" w:lineRule="auto"/>
        <w:ind w:left="360"/>
        <w:jc w:val="both"/>
        <w:rPr>
          <w:b/>
          <w:szCs w:val="24"/>
        </w:rPr>
      </w:pPr>
    </w:p>
    <w:p w:rsidR="00357368" w:rsidRPr="006F1F48" w:rsidRDefault="00357368" w:rsidP="00B628CB">
      <w:pPr>
        <w:pStyle w:val="ListParagraph"/>
        <w:numPr>
          <w:ilvl w:val="0"/>
          <w:numId w:val="17"/>
        </w:numPr>
        <w:spacing w:after="0" w:line="240" w:lineRule="auto"/>
        <w:ind w:left="360"/>
        <w:jc w:val="both"/>
        <w:rPr>
          <w:b/>
          <w:szCs w:val="24"/>
        </w:rPr>
      </w:pPr>
      <w:r w:rsidRPr="006F1F48">
        <w:rPr>
          <w:szCs w:val="24"/>
        </w:rPr>
        <w:t>17 companies and 10 individuals owed a</w:t>
      </w:r>
      <w:r>
        <w:rPr>
          <w:szCs w:val="24"/>
        </w:rPr>
        <w:t xml:space="preserve">mounts </w:t>
      </w:r>
      <w:r w:rsidRPr="006F1F48">
        <w:rPr>
          <w:szCs w:val="24"/>
        </w:rPr>
        <w:t xml:space="preserve">of Rs 51.8 million and </w:t>
      </w:r>
      <w:r w:rsidR="00D54927">
        <w:rPr>
          <w:szCs w:val="24"/>
        </w:rPr>
        <w:br/>
      </w:r>
      <w:r w:rsidRPr="006F1F48">
        <w:rPr>
          <w:szCs w:val="24"/>
        </w:rPr>
        <w:t xml:space="preserve">Rs 23.3 million as at 30 June 2017 compared to Rs 55.2 million and Rs 37.3 million </w:t>
      </w:r>
      <w:r>
        <w:rPr>
          <w:szCs w:val="24"/>
        </w:rPr>
        <w:t xml:space="preserve">as </w:t>
      </w:r>
      <w:r w:rsidRPr="006F1F48">
        <w:rPr>
          <w:szCs w:val="24"/>
        </w:rPr>
        <w:t>at 30 June 2016, respectively. The decrease in the debtors’ balances was mainly due to accounting adjustments</w:t>
      </w:r>
      <w:r>
        <w:rPr>
          <w:szCs w:val="24"/>
        </w:rPr>
        <w:t>.</w:t>
      </w:r>
    </w:p>
    <w:p w:rsidR="00357368" w:rsidRDefault="00357368" w:rsidP="00067FDF">
      <w:pPr>
        <w:tabs>
          <w:tab w:val="left" w:pos="1710"/>
        </w:tabs>
        <w:spacing w:after="0" w:line="240" w:lineRule="auto"/>
        <w:jc w:val="both"/>
        <w:rPr>
          <w:b/>
          <w:szCs w:val="24"/>
        </w:rPr>
      </w:pPr>
    </w:p>
    <w:p w:rsidR="00D76331" w:rsidRDefault="00D76331" w:rsidP="00067FDF">
      <w:pPr>
        <w:tabs>
          <w:tab w:val="left" w:pos="1710"/>
        </w:tabs>
        <w:spacing w:after="0" w:line="240" w:lineRule="auto"/>
        <w:jc w:val="both"/>
        <w:rPr>
          <w:b/>
          <w:szCs w:val="24"/>
        </w:rPr>
      </w:pPr>
    </w:p>
    <w:p w:rsidR="00357368" w:rsidRPr="007A0853" w:rsidRDefault="00DE09C2" w:rsidP="00357368">
      <w:pPr>
        <w:tabs>
          <w:tab w:val="left" w:pos="720"/>
          <w:tab w:val="left" w:pos="1710"/>
        </w:tabs>
        <w:spacing w:after="0" w:line="240" w:lineRule="auto"/>
        <w:jc w:val="both"/>
        <w:rPr>
          <w:b/>
          <w:szCs w:val="24"/>
        </w:rPr>
      </w:pPr>
      <w:r>
        <w:rPr>
          <w:b/>
          <w:szCs w:val="24"/>
        </w:rPr>
        <w:t>6.13</w:t>
      </w:r>
      <w:r w:rsidR="00357368">
        <w:rPr>
          <w:b/>
          <w:szCs w:val="24"/>
        </w:rPr>
        <w:tab/>
      </w:r>
      <w:r w:rsidR="00357368" w:rsidRPr="00320F81">
        <w:rPr>
          <w:b/>
          <w:szCs w:val="24"/>
        </w:rPr>
        <w:t>Debtors -</w:t>
      </w:r>
      <w:r w:rsidR="00357368">
        <w:rPr>
          <w:b/>
          <w:szCs w:val="24"/>
        </w:rPr>
        <w:t xml:space="preserve"> </w:t>
      </w:r>
      <w:r w:rsidR="00357368" w:rsidRPr="007A0853">
        <w:rPr>
          <w:b/>
          <w:szCs w:val="24"/>
        </w:rPr>
        <w:t>Rs 562.3 million</w:t>
      </w:r>
    </w:p>
    <w:p w:rsidR="00357368" w:rsidRDefault="00357368" w:rsidP="00357368">
      <w:pPr>
        <w:tabs>
          <w:tab w:val="left" w:pos="1710"/>
        </w:tabs>
        <w:spacing w:after="0" w:line="240" w:lineRule="auto"/>
        <w:jc w:val="both"/>
        <w:rPr>
          <w:szCs w:val="24"/>
        </w:rPr>
      </w:pPr>
    </w:p>
    <w:p w:rsidR="00357368" w:rsidRDefault="00357368" w:rsidP="00357368">
      <w:pPr>
        <w:tabs>
          <w:tab w:val="left" w:pos="1710"/>
        </w:tabs>
        <w:spacing w:after="0" w:line="240" w:lineRule="auto"/>
        <w:jc w:val="both"/>
        <w:rPr>
          <w:szCs w:val="24"/>
        </w:rPr>
      </w:pPr>
      <w:r w:rsidRPr="007A0853">
        <w:rPr>
          <w:szCs w:val="24"/>
        </w:rPr>
        <w:t>Following re</w:t>
      </w:r>
      <w:r>
        <w:rPr>
          <w:szCs w:val="24"/>
        </w:rPr>
        <w:t>-</w:t>
      </w:r>
      <w:r w:rsidRPr="007A0853">
        <w:rPr>
          <w:szCs w:val="24"/>
        </w:rPr>
        <w:t>assessment</w:t>
      </w:r>
      <w:r>
        <w:rPr>
          <w:szCs w:val="24"/>
        </w:rPr>
        <w:t>s</w:t>
      </w:r>
      <w:r w:rsidRPr="007A0853">
        <w:rPr>
          <w:szCs w:val="24"/>
        </w:rPr>
        <w:t xml:space="preserve"> by </w:t>
      </w:r>
      <w:r>
        <w:rPr>
          <w:szCs w:val="24"/>
        </w:rPr>
        <w:t xml:space="preserve">the </w:t>
      </w:r>
      <w:r w:rsidRPr="007A0853">
        <w:rPr>
          <w:szCs w:val="24"/>
        </w:rPr>
        <w:t xml:space="preserve">Government </w:t>
      </w:r>
      <w:proofErr w:type="spellStart"/>
      <w:r w:rsidRPr="007A0853">
        <w:rPr>
          <w:szCs w:val="24"/>
        </w:rPr>
        <w:t>Valuer</w:t>
      </w:r>
      <w:proofErr w:type="spellEnd"/>
      <w:r w:rsidRPr="007A0853">
        <w:rPr>
          <w:szCs w:val="24"/>
        </w:rPr>
        <w:t xml:space="preserve">, additional duties were claimed by the RGD </w:t>
      </w:r>
      <w:r>
        <w:rPr>
          <w:szCs w:val="24"/>
        </w:rPr>
        <w:t>from</w:t>
      </w:r>
      <w:r w:rsidRPr="007A0853">
        <w:rPr>
          <w:szCs w:val="24"/>
        </w:rPr>
        <w:t xml:space="preserve"> buyer</w:t>
      </w:r>
      <w:r w:rsidR="002B34E8">
        <w:rPr>
          <w:szCs w:val="24"/>
        </w:rPr>
        <w:t>s</w:t>
      </w:r>
      <w:r w:rsidRPr="007A0853">
        <w:rPr>
          <w:szCs w:val="24"/>
        </w:rPr>
        <w:t>/seller</w:t>
      </w:r>
      <w:r w:rsidR="002B34E8">
        <w:rPr>
          <w:szCs w:val="24"/>
        </w:rPr>
        <w:t>s</w:t>
      </w:r>
      <w:r>
        <w:rPr>
          <w:szCs w:val="24"/>
        </w:rPr>
        <w:t>. These</w:t>
      </w:r>
      <w:r w:rsidRPr="007A0853">
        <w:rPr>
          <w:szCs w:val="24"/>
        </w:rPr>
        <w:t xml:space="preserve"> have been excluded from the list of debtors at 30 June 2017. The </w:t>
      </w:r>
      <w:r>
        <w:rPr>
          <w:szCs w:val="24"/>
        </w:rPr>
        <w:t>amount</w:t>
      </w:r>
      <w:r w:rsidRPr="007A0853">
        <w:rPr>
          <w:szCs w:val="24"/>
        </w:rPr>
        <w:t xml:space="preserve"> involved </w:t>
      </w:r>
      <w:r>
        <w:rPr>
          <w:szCs w:val="24"/>
        </w:rPr>
        <w:t xml:space="preserve">was </w:t>
      </w:r>
      <w:r w:rsidRPr="007A0853">
        <w:rPr>
          <w:szCs w:val="24"/>
        </w:rPr>
        <w:t>some Rs 562.3 million</w:t>
      </w:r>
      <w:r>
        <w:rPr>
          <w:szCs w:val="24"/>
        </w:rPr>
        <w:t>,</w:t>
      </w:r>
      <w:r w:rsidRPr="007A0853">
        <w:rPr>
          <w:szCs w:val="24"/>
        </w:rPr>
        <w:t xml:space="preserve"> as </w:t>
      </w:r>
      <w:r>
        <w:rPr>
          <w:szCs w:val="24"/>
        </w:rPr>
        <w:t>detailed</w:t>
      </w:r>
      <w:r w:rsidRPr="007A0853">
        <w:rPr>
          <w:szCs w:val="24"/>
        </w:rPr>
        <w:t xml:space="preserve"> below</w:t>
      </w:r>
      <w:r>
        <w:rPr>
          <w:szCs w:val="24"/>
        </w:rPr>
        <w:t>:</w:t>
      </w:r>
    </w:p>
    <w:p w:rsidR="00357368" w:rsidRPr="007A0853" w:rsidRDefault="00357368" w:rsidP="00357368">
      <w:pPr>
        <w:tabs>
          <w:tab w:val="left" w:pos="1710"/>
        </w:tabs>
        <w:spacing w:after="0" w:line="240" w:lineRule="auto"/>
        <w:jc w:val="both"/>
        <w:rPr>
          <w:szCs w:val="24"/>
        </w:rPr>
      </w:pPr>
    </w:p>
    <w:p w:rsidR="00357368" w:rsidRPr="007A0853" w:rsidRDefault="00357368" w:rsidP="00B628CB">
      <w:pPr>
        <w:pStyle w:val="ListParagraph"/>
        <w:numPr>
          <w:ilvl w:val="0"/>
          <w:numId w:val="19"/>
        </w:numPr>
        <w:spacing w:after="0" w:line="240" w:lineRule="auto"/>
        <w:ind w:left="360"/>
        <w:jc w:val="both"/>
        <w:rPr>
          <w:i/>
          <w:szCs w:val="24"/>
        </w:rPr>
      </w:pPr>
      <w:r w:rsidRPr="007A0853">
        <w:rPr>
          <w:szCs w:val="24"/>
        </w:rPr>
        <w:t xml:space="preserve">1,672 cases of untraceable debtors </w:t>
      </w:r>
      <w:proofErr w:type="spellStart"/>
      <w:r w:rsidRPr="007A0853">
        <w:rPr>
          <w:szCs w:val="24"/>
        </w:rPr>
        <w:t>totalled</w:t>
      </w:r>
      <w:proofErr w:type="spellEnd"/>
      <w:r w:rsidRPr="007A0853">
        <w:rPr>
          <w:szCs w:val="24"/>
        </w:rPr>
        <w:t xml:space="preserve"> some Rs 53.6 million</w:t>
      </w:r>
      <w:r>
        <w:rPr>
          <w:szCs w:val="24"/>
        </w:rPr>
        <w:t xml:space="preserve"> as</w:t>
      </w:r>
      <w:r w:rsidRPr="007A0853">
        <w:rPr>
          <w:szCs w:val="24"/>
        </w:rPr>
        <w:t xml:space="preserve"> at 30 June 2017</w:t>
      </w:r>
      <w:r>
        <w:rPr>
          <w:szCs w:val="24"/>
        </w:rPr>
        <w:t>;</w:t>
      </w:r>
      <w:r w:rsidRPr="007A0853">
        <w:rPr>
          <w:szCs w:val="24"/>
        </w:rPr>
        <w:t xml:space="preserve"> </w:t>
      </w:r>
    </w:p>
    <w:p w:rsidR="00357368" w:rsidRDefault="00357368" w:rsidP="00357368">
      <w:pPr>
        <w:pStyle w:val="ListParagraph"/>
        <w:spacing w:after="0" w:line="240" w:lineRule="auto"/>
        <w:ind w:left="360"/>
        <w:jc w:val="both"/>
        <w:rPr>
          <w:szCs w:val="24"/>
        </w:rPr>
      </w:pPr>
    </w:p>
    <w:p w:rsidR="00357368" w:rsidRDefault="00357368" w:rsidP="00B628CB">
      <w:pPr>
        <w:pStyle w:val="ListParagraph"/>
        <w:numPr>
          <w:ilvl w:val="0"/>
          <w:numId w:val="19"/>
        </w:numPr>
        <w:spacing w:after="0" w:line="240" w:lineRule="auto"/>
        <w:ind w:left="360"/>
        <w:jc w:val="both"/>
        <w:rPr>
          <w:szCs w:val="24"/>
        </w:rPr>
      </w:pPr>
      <w:r w:rsidRPr="007A0853">
        <w:rPr>
          <w:szCs w:val="24"/>
        </w:rPr>
        <w:t xml:space="preserve">As at 30 September 2017, there were 1,611 cases of objections lodged </w:t>
      </w:r>
      <w:r>
        <w:rPr>
          <w:szCs w:val="24"/>
        </w:rPr>
        <w:t xml:space="preserve">and </w:t>
      </w:r>
      <w:r w:rsidRPr="007A0853">
        <w:rPr>
          <w:szCs w:val="24"/>
        </w:rPr>
        <w:t xml:space="preserve">awaiting to be determined at the </w:t>
      </w:r>
      <w:r>
        <w:rPr>
          <w:szCs w:val="24"/>
        </w:rPr>
        <w:t>Objection Unit (</w:t>
      </w:r>
      <w:r w:rsidRPr="007A0853">
        <w:rPr>
          <w:szCs w:val="24"/>
        </w:rPr>
        <w:t>OU</w:t>
      </w:r>
      <w:r>
        <w:rPr>
          <w:szCs w:val="24"/>
        </w:rPr>
        <w:t>)</w:t>
      </w:r>
      <w:r w:rsidRPr="007A0853">
        <w:rPr>
          <w:szCs w:val="24"/>
        </w:rPr>
        <w:t xml:space="preserve"> of RGD</w:t>
      </w:r>
      <w:r>
        <w:rPr>
          <w:szCs w:val="24"/>
        </w:rPr>
        <w:t>; these concerned 4</w:t>
      </w:r>
      <w:r w:rsidRPr="007A0853">
        <w:rPr>
          <w:szCs w:val="24"/>
        </w:rPr>
        <w:t xml:space="preserve">,613 buyers and sellers </w:t>
      </w:r>
      <w:r>
        <w:rPr>
          <w:szCs w:val="24"/>
        </w:rPr>
        <w:t>for an amount of</w:t>
      </w:r>
      <w:r w:rsidRPr="007A0853">
        <w:rPr>
          <w:szCs w:val="24"/>
        </w:rPr>
        <w:t xml:space="preserve"> Rs 286.4 million</w:t>
      </w:r>
      <w:r>
        <w:rPr>
          <w:szCs w:val="24"/>
        </w:rPr>
        <w:t>;</w:t>
      </w:r>
      <w:r w:rsidRPr="007A0853">
        <w:rPr>
          <w:szCs w:val="24"/>
        </w:rPr>
        <w:t xml:space="preserve"> </w:t>
      </w:r>
    </w:p>
    <w:p w:rsidR="00357368" w:rsidRPr="007A0853" w:rsidRDefault="00357368" w:rsidP="00357368">
      <w:pPr>
        <w:pStyle w:val="ListParagraph"/>
        <w:spacing w:after="0" w:line="240" w:lineRule="auto"/>
        <w:ind w:left="360"/>
        <w:jc w:val="both"/>
        <w:rPr>
          <w:szCs w:val="24"/>
        </w:rPr>
      </w:pPr>
    </w:p>
    <w:p w:rsidR="00357368" w:rsidRPr="007A0853" w:rsidRDefault="00B04B82" w:rsidP="00B628CB">
      <w:pPr>
        <w:pStyle w:val="ListParagraph"/>
        <w:numPr>
          <w:ilvl w:val="0"/>
          <w:numId w:val="19"/>
        </w:numPr>
        <w:spacing w:after="0" w:line="240" w:lineRule="auto"/>
        <w:ind w:left="360"/>
        <w:jc w:val="both"/>
        <w:rPr>
          <w:szCs w:val="24"/>
        </w:rPr>
      </w:pPr>
      <w:r>
        <w:rPr>
          <w:szCs w:val="24"/>
        </w:rPr>
        <w:t>Prior to May 2015, t</w:t>
      </w:r>
      <w:r w:rsidR="00357368">
        <w:rPr>
          <w:szCs w:val="24"/>
        </w:rPr>
        <w:t xml:space="preserve">here were </w:t>
      </w:r>
      <w:r>
        <w:rPr>
          <w:szCs w:val="24"/>
        </w:rPr>
        <w:t>1,032</w:t>
      </w:r>
      <w:r w:rsidR="00357368" w:rsidRPr="007A0853">
        <w:rPr>
          <w:szCs w:val="24"/>
        </w:rPr>
        <w:t xml:space="preserve"> cases </w:t>
      </w:r>
      <w:proofErr w:type="spellStart"/>
      <w:r w:rsidR="00357368" w:rsidRPr="007A0853">
        <w:rPr>
          <w:szCs w:val="24"/>
        </w:rPr>
        <w:t>tota</w:t>
      </w:r>
      <w:r>
        <w:rPr>
          <w:szCs w:val="24"/>
        </w:rPr>
        <w:t>l</w:t>
      </w:r>
      <w:r w:rsidR="00357368" w:rsidRPr="007A0853">
        <w:rPr>
          <w:szCs w:val="24"/>
        </w:rPr>
        <w:t>ling</w:t>
      </w:r>
      <w:proofErr w:type="spellEnd"/>
      <w:r w:rsidR="00357368" w:rsidRPr="007A0853">
        <w:rPr>
          <w:szCs w:val="24"/>
        </w:rPr>
        <w:t xml:space="preserve"> Rs 222.3 million that were yet to be determined at the </w:t>
      </w:r>
      <w:r w:rsidR="00357368">
        <w:rPr>
          <w:szCs w:val="24"/>
        </w:rPr>
        <w:t>Assessment Review Committee (</w:t>
      </w:r>
      <w:r w:rsidR="00357368" w:rsidRPr="007A0853">
        <w:rPr>
          <w:szCs w:val="24"/>
        </w:rPr>
        <w:t>ARC</w:t>
      </w:r>
      <w:r w:rsidR="00357368">
        <w:rPr>
          <w:szCs w:val="24"/>
        </w:rPr>
        <w:t>)</w:t>
      </w:r>
      <w:r w:rsidR="00357368" w:rsidRPr="007A0853">
        <w:rPr>
          <w:szCs w:val="24"/>
        </w:rPr>
        <w:t xml:space="preserve"> as at 31 October 2017.</w:t>
      </w:r>
    </w:p>
    <w:p w:rsidR="00357368" w:rsidRDefault="00357368" w:rsidP="00357368">
      <w:pPr>
        <w:spacing w:after="0" w:line="240" w:lineRule="auto"/>
        <w:rPr>
          <w:b/>
          <w:szCs w:val="24"/>
        </w:rPr>
      </w:pPr>
    </w:p>
    <w:p w:rsidR="00D76331" w:rsidRDefault="00D76331" w:rsidP="00357368">
      <w:pPr>
        <w:spacing w:after="0" w:line="240" w:lineRule="auto"/>
        <w:rPr>
          <w:b/>
          <w:szCs w:val="24"/>
        </w:rPr>
      </w:pPr>
    </w:p>
    <w:p w:rsidR="00357368" w:rsidRPr="00F3445B" w:rsidRDefault="00DE09C2" w:rsidP="00357368">
      <w:pPr>
        <w:tabs>
          <w:tab w:val="left" w:pos="720"/>
        </w:tabs>
        <w:spacing w:after="0" w:line="240" w:lineRule="auto"/>
        <w:rPr>
          <w:b/>
          <w:szCs w:val="24"/>
        </w:rPr>
      </w:pPr>
      <w:r>
        <w:rPr>
          <w:b/>
          <w:szCs w:val="24"/>
        </w:rPr>
        <w:t>6.14</w:t>
      </w:r>
      <w:r w:rsidR="00357368">
        <w:rPr>
          <w:b/>
          <w:szCs w:val="24"/>
        </w:rPr>
        <w:tab/>
        <w:t>Re-assessment of Immovable Properties</w:t>
      </w:r>
    </w:p>
    <w:p w:rsidR="00357368" w:rsidRDefault="00357368" w:rsidP="00357368">
      <w:pPr>
        <w:spacing w:after="0" w:line="240" w:lineRule="auto"/>
        <w:jc w:val="both"/>
        <w:rPr>
          <w:szCs w:val="24"/>
        </w:rPr>
      </w:pPr>
    </w:p>
    <w:p w:rsidR="00357368" w:rsidRDefault="00357368" w:rsidP="00357368">
      <w:pPr>
        <w:spacing w:after="0" w:line="240" w:lineRule="auto"/>
        <w:jc w:val="both"/>
        <w:rPr>
          <w:szCs w:val="24"/>
        </w:rPr>
      </w:pPr>
      <w:r w:rsidRPr="00F3445B">
        <w:rPr>
          <w:szCs w:val="24"/>
        </w:rPr>
        <w:t>Once the values of immovable properties are declared and registered at RGD, they are subject to re</w:t>
      </w:r>
      <w:r>
        <w:rPr>
          <w:szCs w:val="24"/>
        </w:rPr>
        <w:t>-</w:t>
      </w:r>
      <w:r w:rsidRPr="00F3445B">
        <w:rPr>
          <w:szCs w:val="24"/>
        </w:rPr>
        <w:t xml:space="preserve">assessment at the </w:t>
      </w:r>
      <w:r>
        <w:rPr>
          <w:szCs w:val="24"/>
        </w:rPr>
        <w:t>Valuation Department</w:t>
      </w:r>
      <w:r w:rsidRPr="00F3445B">
        <w:rPr>
          <w:szCs w:val="24"/>
        </w:rPr>
        <w:t xml:space="preserve">. After Government </w:t>
      </w:r>
      <w:proofErr w:type="spellStart"/>
      <w:r w:rsidRPr="00F3445B">
        <w:rPr>
          <w:szCs w:val="24"/>
        </w:rPr>
        <w:t>Valuer’s</w:t>
      </w:r>
      <w:proofErr w:type="spellEnd"/>
      <w:r w:rsidRPr="00F3445B">
        <w:rPr>
          <w:szCs w:val="24"/>
        </w:rPr>
        <w:t xml:space="preserve"> </w:t>
      </w:r>
      <w:r w:rsidR="00037804">
        <w:rPr>
          <w:szCs w:val="24"/>
        </w:rPr>
        <w:br/>
      </w:r>
      <w:r w:rsidRPr="00F3445B">
        <w:rPr>
          <w:szCs w:val="24"/>
        </w:rPr>
        <w:t>re</w:t>
      </w:r>
      <w:r>
        <w:rPr>
          <w:szCs w:val="24"/>
        </w:rPr>
        <w:t>-</w:t>
      </w:r>
      <w:r w:rsidRPr="00F3445B">
        <w:rPr>
          <w:szCs w:val="24"/>
        </w:rPr>
        <w:t xml:space="preserve">assessment of the property has been obtained, RGD’s Valuation Unit then issues the notice of service to the </w:t>
      </w:r>
      <w:r>
        <w:rPr>
          <w:szCs w:val="24"/>
        </w:rPr>
        <w:t>buyers/sellers</w:t>
      </w:r>
      <w:r w:rsidRPr="00F3445B">
        <w:rPr>
          <w:szCs w:val="24"/>
        </w:rPr>
        <w:t xml:space="preserve"> </w:t>
      </w:r>
      <w:r>
        <w:rPr>
          <w:szCs w:val="24"/>
        </w:rPr>
        <w:t xml:space="preserve">to claim </w:t>
      </w:r>
      <w:r w:rsidRPr="00F3445B">
        <w:rPr>
          <w:szCs w:val="24"/>
        </w:rPr>
        <w:t>for the additional duties and taxes.</w:t>
      </w:r>
    </w:p>
    <w:p w:rsidR="00357368" w:rsidRPr="00F3445B" w:rsidRDefault="00357368" w:rsidP="00357368">
      <w:pPr>
        <w:spacing w:after="0" w:line="240" w:lineRule="auto"/>
        <w:jc w:val="both"/>
        <w:rPr>
          <w:szCs w:val="24"/>
        </w:rPr>
      </w:pPr>
    </w:p>
    <w:p w:rsidR="00357368" w:rsidRDefault="00357368" w:rsidP="00B628CB">
      <w:pPr>
        <w:pStyle w:val="ListParagraph"/>
        <w:numPr>
          <w:ilvl w:val="0"/>
          <w:numId w:val="22"/>
        </w:numPr>
        <w:spacing w:after="0" w:line="240" w:lineRule="auto"/>
        <w:ind w:left="360"/>
        <w:jc w:val="both"/>
        <w:rPr>
          <w:szCs w:val="24"/>
        </w:rPr>
      </w:pPr>
      <w:r w:rsidRPr="00F3445B">
        <w:rPr>
          <w:szCs w:val="24"/>
        </w:rPr>
        <w:t xml:space="preserve">If dissatisfied by the RGD’s notice to pay additional duty or tax, the </w:t>
      </w:r>
      <w:r>
        <w:rPr>
          <w:szCs w:val="24"/>
        </w:rPr>
        <w:t>buyer</w:t>
      </w:r>
      <w:r w:rsidRPr="00F3445B">
        <w:rPr>
          <w:szCs w:val="24"/>
        </w:rPr>
        <w:t>/</w:t>
      </w:r>
      <w:r>
        <w:rPr>
          <w:szCs w:val="24"/>
        </w:rPr>
        <w:t>seller</w:t>
      </w:r>
      <w:r w:rsidRPr="00F3445B">
        <w:rPr>
          <w:szCs w:val="24"/>
        </w:rPr>
        <w:t xml:space="preserve"> can make an objection, within 28 days of the date of the notice</w:t>
      </w:r>
      <w:r>
        <w:rPr>
          <w:szCs w:val="24"/>
        </w:rPr>
        <w:t>;</w:t>
      </w:r>
    </w:p>
    <w:p w:rsidR="00357368" w:rsidRPr="00F3445B" w:rsidRDefault="00357368" w:rsidP="00357368">
      <w:pPr>
        <w:pStyle w:val="ListParagraph"/>
        <w:spacing w:after="0" w:line="240" w:lineRule="auto"/>
        <w:ind w:left="360"/>
        <w:jc w:val="both"/>
        <w:rPr>
          <w:szCs w:val="24"/>
        </w:rPr>
      </w:pPr>
    </w:p>
    <w:p w:rsidR="00357368" w:rsidRPr="006E12A5" w:rsidRDefault="00357368" w:rsidP="00B628CB">
      <w:pPr>
        <w:pStyle w:val="ListParagraph"/>
        <w:numPr>
          <w:ilvl w:val="0"/>
          <w:numId w:val="22"/>
        </w:numPr>
        <w:spacing w:after="0" w:line="240" w:lineRule="auto"/>
        <w:ind w:left="360"/>
        <w:jc w:val="both"/>
        <w:rPr>
          <w:szCs w:val="24"/>
        </w:rPr>
      </w:pPr>
      <w:r w:rsidRPr="006E12A5">
        <w:rPr>
          <w:szCs w:val="24"/>
        </w:rPr>
        <w:t>If still unsatisfied with the decision of the O</w:t>
      </w:r>
      <w:r>
        <w:rPr>
          <w:szCs w:val="24"/>
        </w:rPr>
        <w:t>U</w:t>
      </w:r>
      <w:r w:rsidRPr="006E12A5">
        <w:rPr>
          <w:szCs w:val="24"/>
        </w:rPr>
        <w:t>, the person may appeal to the ARC to determine the open market value of the property;</w:t>
      </w:r>
    </w:p>
    <w:p w:rsidR="00357368" w:rsidRDefault="00357368" w:rsidP="00357368">
      <w:pPr>
        <w:pStyle w:val="ListParagraph"/>
        <w:spacing w:after="0" w:line="240" w:lineRule="auto"/>
        <w:ind w:left="360" w:firstLine="60"/>
        <w:jc w:val="both"/>
        <w:rPr>
          <w:szCs w:val="24"/>
        </w:rPr>
      </w:pPr>
    </w:p>
    <w:p w:rsidR="00357368" w:rsidRDefault="00357368" w:rsidP="00B628CB">
      <w:pPr>
        <w:pStyle w:val="ListParagraph"/>
        <w:numPr>
          <w:ilvl w:val="0"/>
          <w:numId w:val="22"/>
        </w:numPr>
        <w:spacing w:after="0" w:line="240" w:lineRule="auto"/>
        <w:ind w:left="360"/>
        <w:jc w:val="both"/>
        <w:rPr>
          <w:szCs w:val="24"/>
        </w:rPr>
      </w:pPr>
      <w:r w:rsidRPr="00AD3ABA">
        <w:rPr>
          <w:szCs w:val="24"/>
        </w:rPr>
        <w:t xml:space="preserve">If still unsatisfied with the decision of </w:t>
      </w:r>
      <w:r>
        <w:rPr>
          <w:szCs w:val="24"/>
        </w:rPr>
        <w:t xml:space="preserve">the </w:t>
      </w:r>
      <w:r w:rsidRPr="00AD3ABA">
        <w:rPr>
          <w:szCs w:val="24"/>
        </w:rPr>
        <w:t>ARC, the person can make an appeal to the Supreme Court.</w:t>
      </w:r>
    </w:p>
    <w:p w:rsidR="00357368" w:rsidRPr="00AD3ABA" w:rsidRDefault="00357368" w:rsidP="00357368">
      <w:pPr>
        <w:pStyle w:val="ListParagraph"/>
        <w:spacing w:after="0" w:line="240" w:lineRule="auto"/>
        <w:jc w:val="both"/>
        <w:rPr>
          <w:szCs w:val="24"/>
        </w:rPr>
      </w:pPr>
    </w:p>
    <w:p w:rsidR="00357368" w:rsidRDefault="00357368" w:rsidP="00357368">
      <w:pPr>
        <w:spacing w:after="0" w:line="240" w:lineRule="auto"/>
        <w:jc w:val="both"/>
        <w:rPr>
          <w:szCs w:val="24"/>
        </w:rPr>
      </w:pPr>
      <w:r w:rsidRPr="00F3445B">
        <w:rPr>
          <w:szCs w:val="24"/>
        </w:rPr>
        <w:t>In 2016</w:t>
      </w:r>
      <w:r>
        <w:rPr>
          <w:szCs w:val="24"/>
        </w:rPr>
        <w:t>-</w:t>
      </w:r>
      <w:r w:rsidRPr="00F3445B">
        <w:rPr>
          <w:szCs w:val="24"/>
        </w:rPr>
        <w:t xml:space="preserve">17, RGD referred 9,950 cases, with a total declared value of </w:t>
      </w:r>
      <w:r>
        <w:rPr>
          <w:szCs w:val="24"/>
        </w:rPr>
        <w:t xml:space="preserve">some </w:t>
      </w:r>
      <w:r w:rsidRPr="00F3445B">
        <w:rPr>
          <w:szCs w:val="24"/>
        </w:rPr>
        <w:t xml:space="preserve">Rs 43.8 billion to the </w:t>
      </w:r>
      <w:r>
        <w:rPr>
          <w:szCs w:val="24"/>
        </w:rPr>
        <w:t>Valuation Department</w:t>
      </w:r>
      <w:r w:rsidRPr="00F3445B">
        <w:rPr>
          <w:szCs w:val="24"/>
        </w:rPr>
        <w:t xml:space="preserve"> for re</w:t>
      </w:r>
      <w:r>
        <w:rPr>
          <w:szCs w:val="24"/>
        </w:rPr>
        <w:t>-</w:t>
      </w:r>
      <w:r w:rsidRPr="00F3445B">
        <w:rPr>
          <w:szCs w:val="24"/>
        </w:rPr>
        <w:t>assessment of immovable properties</w:t>
      </w:r>
      <w:r>
        <w:rPr>
          <w:szCs w:val="24"/>
        </w:rPr>
        <w:t>,</w:t>
      </w:r>
      <w:r w:rsidRPr="00F3445B">
        <w:rPr>
          <w:szCs w:val="24"/>
        </w:rPr>
        <w:t xml:space="preserve"> </w:t>
      </w:r>
      <w:r>
        <w:rPr>
          <w:szCs w:val="24"/>
        </w:rPr>
        <w:t>o</w:t>
      </w:r>
      <w:r w:rsidRPr="00F3445B">
        <w:rPr>
          <w:szCs w:val="24"/>
        </w:rPr>
        <w:t>ut of which, 2,874 cases with a declared value of some Rs 5.1 billion were re</w:t>
      </w:r>
      <w:r>
        <w:rPr>
          <w:szCs w:val="24"/>
        </w:rPr>
        <w:t>-</w:t>
      </w:r>
      <w:r w:rsidRPr="00F3445B">
        <w:rPr>
          <w:szCs w:val="24"/>
        </w:rPr>
        <w:t xml:space="preserve">assessed. </w:t>
      </w:r>
    </w:p>
    <w:p w:rsidR="00D54927" w:rsidRDefault="00D54927">
      <w:pPr>
        <w:rPr>
          <w:szCs w:val="24"/>
        </w:rPr>
      </w:pPr>
      <w:r>
        <w:rPr>
          <w:szCs w:val="24"/>
        </w:rPr>
        <w:br w:type="page"/>
      </w:r>
    </w:p>
    <w:p w:rsidR="00357368" w:rsidRDefault="00357368" w:rsidP="00357368">
      <w:pPr>
        <w:spacing w:after="0" w:line="240" w:lineRule="auto"/>
        <w:jc w:val="both"/>
        <w:rPr>
          <w:b/>
          <w:i/>
          <w:szCs w:val="24"/>
        </w:rPr>
      </w:pPr>
      <w:r w:rsidRPr="00F3445B">
        <w:rPr>
          <w:b/>
          <w:i/>
          <w:szCs w:val="24"/>
        </w:rPr>
        <w:lastRenderedPageBreak/>
        <w:t>Observations</w:t>
      </w:r>
    </w:p>
    <w:p w:rsidR="00357368" w:rsidRPr="00320F81" w:rsidRDefault="00357368" w:rsidP="00357368">
      <w:pPr>
        <w:spacing w:after="0" w:line="240" w:lineRule="auto"/>
        <w:jc w:val="both"/>
        <w:rPr>
          <w:b/>
          <w:szCs w:val="24"/>
        </w:rPr>
      </w:pPr>
    </w:p>
    <w:p w:rsidR="00357368" w:rsidRPr="00F3445B" w:rsidRDefault="00357368" w:rsidP="00B628CB">
      <w:pPr>
        <w:pStyle w:val="ListParagraph"/>
        <w:numPr>
          <w:ilvl w:val="0"/>
          <w:numId w:val="13"/>
        </w:numPr>
        <w:spacing w:after="0" w:line="240" w:lineRule="auto"/>
        <w:ind w:left="360"/>
        <w:jc w:val="both"/>
        <w:rPr>
          <w:szCs w:val="24"/>
        </w:rPr>
      </w:pPr>
      <w:r>
        <w:rPr>
          <w:szCs w:val="24"/>
        </w:rPr>
        <w:t>O</w:t>
      </w:r>
      <w:r w:rsidRPr="00F3445B">
        <w:rPr>
          <w:szCs w:val="24"/>
        </w:rPr>
        <w:t>ut of the total of 2,874 cases, 2,293 cases were re</w:t>
      </w:r>
      <w:r>
        <w:rPr>
          <w:szCs w:val="24"/>
        </w:rPr>
        <w:t>-</w:t>
      </w:r>
      <w:r w:rsidRPr="00F3445B">
        <w:rPr>
          <w:szCs w:val="24"/>
        </w:rPr>
        <w:t xml:space="preserve">assessed upwards from a total declared value of </w:t>
      </w:r>
      <w:r>
        <w:rPr>
          <w:szCs w:val="24"/>
        </w:rPr>
        <w:t xml:space="preserve">some </w:t>
      </w:r>
      <w:r w:rsidRPr="00F3445B">
        <w:rPr>
          <w:szCs w:val="24"/>
        </w:rPr>
        <w:t>Rs 3.7 billion to a total amount of</w:t>
      </w:r>
      <w:r>
        <w:rPr>
          <w:szCs w:val="24"/>
        </w:rPr>
        <w:t xml:space="preserve"> some</w:t>
      </w:r>
      <w:r w:rsidRPr="00F3445B">
        <w:rPr>
          <w:szCs w:val="24"/>
        </w:rPr>
        <w:t xml:space="preserve"> Rs 6 billion</w:t>
      </w:r>
      <w:r>
        <w:rPr>
          <w:szCs w:val="24"/>
        </w:rPr>
        <w:t>;</w:t>
      </w:r>
      <w:r w:rsidRPr="00F3445B">
        <w:rPr>
          <w:szCs w:val="24"/>
        </w:rPr>
        <w:t xml:space="preserve"> </w:t>
      </w:r>
    </w:p>
    <w:p w:rsidR="00357368" w:rsidRPr="00F3445B" w:rsidRDefault="00357368" w:rsidP="00357368">
      <w:pPr>
        <w:pStyle w:val="ListParagraph"/>
        <w:spacing w:after="0" w:line="240" w:lineRule="auto"/>
        <w:ind w:left="360"/>
        <w:jc w:val="both"/>
        <w:rPr>
          <w:szCs w:val="24"/>
        </w:rPr>
      </w:pPr>
    </w:p>
    <w:p w:rsidR="00357368" w:rsidRPr="00F3445B" w:rsidRDefault="00357368" w:rsidP="00B628CB">
      <w:pPr>
        <w:pStyle w:val="ListParagraph"/>
        <w:numPr>
          <w:ilvl w:val="0"/>
          <w:numId w:val="13"/>
        </w:numPr>
        <w:spacing w:after="0" w:line="240" w:lineRule="auto"/>
        <w:ind w:left="360"/>
        <w:jc w:val="both"/>
        <w:rPr>
          <w:szCs w:val="24"/>
        </w:rPr>
      </w:pPr>
      <w:r w:rsidRPr="00F3445B">
        <w:rPr>
          <w:szCs w:val="24"/>
        </w:rPr>
        <w:t>The remaining 581 cases</w:t>
      </w:r>
      <w:r>
        <w:rPr>
          <w:szCs w:val="24"/>
        </w:rPr>
        <w:t>,</w:t>
      </w:r>
      <w:r w:rsidRPr="00F3445B">
        <w:rPr>
          <w:szCs w:val="24"/>
        </w:rPr>
        <w:t xml:space="preserve"> with a total declared value of Rs 1.4 billion</w:t>
      </w:r>
      <w:r>
        <w:rPr>
          <w:szCs w:val="24"/>
        </w:rPr>
        <w:t>,</w:t>
      </w:r>
      <w:r w:rsidRPr="00F3445B">
        <w:rPr>
          <w:szCs w:val="24"/>
        </w:rPr>
        <w:t xml:space="preserve"> had</w:t>
      </w:r>
      <w:r>
        <w:rPr>
          <w:szCs w:val="24"/>
        </w:rPr>
        <w:t xml:space="preserve"> no </w:t>
      </w:r>
      <w:r w:rsidR="00D54927">
        <w:rPr>
          <w:szCs w:val="24"/>
        </w:rPr>
        <w:br/>
      </w:r>
      <w:r>
        <w:rPr>
          <w:szCs w:val="24"/>
        </w:rPr>
        <w:t xml:space="preserve">re-assessment value in the </w:t>
      </w:r>
      <w:proofErr w:type="spellStart"/>
      <w:r>
        <w:rPr>
          <w:szCs w:val="24"/>
        </w:rPr>
        <w:t>Me</w:t>
      </w:r>
      <w:r w:rsidRPr="00F3445B">
        <w:rPr>
          <w:szCs w:val="24"/>
        </w:rPr>
        <w:t>RP</w:t>
      </w:r>
      <w:proofErr w:type="spellEnd"/>
      <w:r w:rsidRPr="00F3445B">
        <w:rPr>
          <w:szCs w:val="24"/>
        </w:rPr>
        <w:t xml:space="preserve"> system as at 30 June 2017. Of those remaining cases, </w:t>
      </w:r>
      <w:r>
        <w:rPr>
          <w:szCs w:val="24"/>
        </w:rPr>
        <w:t>eight</w:t>
      </w:r>
      <w:r w:rsidRPr="00F3445B">
        <w:rPr>
          <w:szCs w:val="24"/>
        </w:rPr>
        <w:t xml:space="preserve"> cases of a total declared value of Rs 15.3 million have been ‘closed’, that is, settled</w:t>
      </w:r>
      <w:r>
        <w:rPr>
          <w:szCs w:val="24"/>
        </w:rPr>
        <w:t>;</w:t>
      </w:r>
    </w:p>
    <w:p w:rsidR="00357368" w:rsidRPr="00F3445B" w:rsidRDefault="00357368" w:rsidP="00357368">
      <w:pPr>
        <w:pStyle w:val="ListParagraph"/>
        <w:spacing w:after="0" w:line="240" w:lineRule="auto"/>
        <w:ind w:left="360"/>
        <w:jc w:val="both"/>
        <w:rPr>
          <w:szCs w:val="24"/>
        </w:rPr>
      </w:pPr>
    </w:p>
    <w:p w:rsidR="00357368" w:rsidRPr="00F3445B" w:rsidRDefault="00357368" w:rsidP="00B628CB">
      <w:pPr>
        <w:pStyle w:val="ListParagraph"/>
        <w:numPr>
          <w:ilvl w:val="0"/>
          <w:numId w:val="13"/>
        </w:numPr>
        <w:spacing w:after="0" w:line="240" w:lineRule="auto"/>
        <w:ind w:left="360"/>
        <w:jc w:val="both"/>
        <w:rPr>
          <w:szCs w:val="24"/>
        </w:rPr>
      </w:pPr>
      <w:r w:rsidRPr="00F3445B">
        <w:rPr>
          <w:szCs w:val="24"/>
        </w:rPr>
        <w:t xml:space="preserve">525 cases were settled </w:t>
      </w:r>
      <w:r>
        <w:rPr>
          <w:szCs w:val="24"/>
        </w:rPr>
        <w:t>up to</w:t>
      </w:r>
      <w:r w:rsidRPr="00F3445B">
        <w:rPr>
          <w:szCs w:val="24"/>
        </w:rPr>
        <w:t xml:space="preserve"> 19 September 2017</w:t>
      </w:r>
      <w:r>
        <w:rPr>
          <w:szCs w:val="24"/>
        </w:rPr>
        <w:t>.</w:t>
      </w:r>
      <w:r w:rsidRPr="00F3445B">
        <w:rPr>
          <w:szCs w:val="24"/>
        </w:rPr>
        <w:t xml:space="preserve"> No payments were received in </w:t>
      </w:r>
      <w:r w:rsidR="00D54927">
        <w:rPr>
          <w:szCs w:val="24"/>
        </w:rPr>
        <w:br/>
      </w:r>
      <w:r w:rsidRPr="00F3445B">
        <w:rPr>
          <w:szCs w:val="24"/>
        </w:rPr>
        <w:t xml:space="preserve">815 cases. During </w:t>
      </w:r>
      <w:r>
        <w:rPr>
          <w:szCs w:val="24"/>
        </w:rPr>
        <w:t>2016-</w:t>
      </w:r>
      <w:r w:rsidRPr="00F3445B">
        <w:rPr>
          <w:szCs w:val="24"/>
        </w:rPr>
        <w:t>17, 1,</w:t>
      </w:r>
      <w:r>
        <w:rPr>
          <w:szCs w:val="24"/>
        </w:rPr>
        <w:t>146 and 304</w:t>
      </w:r>
      <w:r w:rsidRPr="00F3445B">
        <w:rPr>
          <w:szCs w:val="24"/>
        </w:rPr>
        <w:t xml:space="preserve"> cases were lodged at the OU of RGD and ARC</w:t>
      </w:r>
      <w:r>
        <w:rPr>
          <w:szCs w:val="24"/>
        </w:rPr>
        <w:t xml:space="preserve"> respectively;</w:t>
      </w:r>
    </w:p>
    <w:p w:rsidR="00357368" w:rsidRPr="00067FDF" w:rsidRDefault="00357368" w:rsidP="00067FDF">
      <w:pPr>
        <w:spacing w:after="0" w:line="240" w:lineRule="auto"/>
        <w:jc w:val="both"/>
        <w:rPr>
          <w:szCs w:val="24"/>
        </w:rPr>
      </w:pPr>
    </w:p>
    <w:p w:rsidR="00357368" w:rsidRPr="00D775C4" w:rsidRDefault="00357368" w:rsidP="00B628CB">
      <w:pPr>
        <w:pStyle w:val="ListParagraph"/>
        <w:numPr>
          <w:ilvl w:val="0"/>
          <w:numId w:val="18"/>
        </w:numPr>
        <w:spacing w:after="0" w:line="240" w:lineRule="auto"/>
        <w:ind w:left="360"/>
        <w:jc w:val="both"/>
        <w:rPr>
          <w:b/>
          <w:strike/>
          <w:szCs w:val="24"/>
        </w:rPr>
      </w:pPr>
      <w:r w:rsidRPr="00F3445B">
        <w:rPr>
          <w:szCs w:val="24"/>
        </w:rPr>
        <w:t>We have matched the 2,87</w:t>
      </w:r>
      <w:r>
        <w:rPr>
          <w:szCs w:val="24"/>
        </w:rPr>
        <w:t>4</w:t>
      </w:r>
      <w:r w:rsidRPr="00F3445B">
        <w:rPr>
          <w:szCs w:val="24"/>
        </w:rPr>
        <w:t xml:space="preserve"> cases reassessed with the list of debtors as at 30 June 2017 and </w:t>
      </w:r>
      <w:r>
        <w:rPr>
          <w:szCs w:val="24"/>
        </w:rPr>
        <w:t>out of</w:t>
      </w:r>
      <w:r w:rsidRPr="00F3445B">
        <w:rPr>
          <w:szCs w:val="24"/>
        </w:rPr>
        <w:t xml:space="preserve"> 1,000 cases </w:t>
      </w:r>
      <w:proofErr w:type="spellStart"/>
      <w:r w:rsidRPr="00F3445B">
        <w:rPr>
          <w:szCs w:val="24"/>
        </w:rPr>
        <w:t>tota</w:t>
      </w:r>
      <w:r>
        <w:rPr>
          <w:szCs w:val="24"/>
        </w:rPr>
        <w:t>l</w:t>
      </w:r>
      <w:r w:rsidRPr="00F3445B">
        <w:rPr>
          <w:szCs w:val="24"/>
        </w:rPr>
        <w:t>ling</w:t>
      </w:r>
      <w:proofErr w:type="spellEnd"/>
      <w:r w:rsidRPr="00F3445B">
        <w:rPr>
          <w:szCs w:val="24"/>
        </w:rPr>
        <w:t xml:space="preserve"> Rs 45 million, only an amount of Rs 9.3 million was recovered </w:t>
      </w:r>
      <w:r>
        <w:rPr>
          <w:szCs w:val="24"/>
        </w:rPr>
        <w:t xml:space="preserve">whereas </w:t>
      </w:r>
      <w:r w:rsidRPr="00F3445B">
        <w:rPr>
          <w:szCs w:val="24"/>
        </w:rPr>
        <w:t>the remaining amount of Rs 35.</w:t>
      </w:r>
      <w:r>
        <w:rPr>
          <w:szCs w:val="24"/>
        </w:rPr>
        <w:t>7</w:t>
      </w:r>
      <w:r w:rsidRPr="00F3445B">
        <w:rPr>
          <w:szCs w:val="24"/>
        </w:rPr>
        <w:t xml:space="preserve"> million </w:t>
      </w:r>
      <w:r>
        <w:rPr>
          <w:szCs w:val="24"/>
        </w:rPr>
        <w:t>was still outstanding.</w:t>
      </w:r>
    </w:p>
    <w:p w:rsidR="00357368" w:rsidRDefault="00357368" w:rsidP="00357368">
      <w:pPr>
        <w:spacing w:after="0" w:line="240" w:lineRule="auto"/>
        <w:rPr>
          <w:b/>
          <w:szCs w:val="24"/>
        </w:rPr>
      </w:pPr>
    </w:p>
    <w:p w:rsidR="009B3218" w:rsidRDefault="009B3218" w:rsidP="00357368">
      <w:pPr>
        <w:spacing w:after="0" w:line="240" w:lineRule="auto"/>
        <w:rPr>
          <w:b/>
          <w:szCs w:val="24"/>
        </w:rPr>
      </w:pPr>
    </w:p>
    <w:p w:rsidR="00357368" w:rsidRPr="00E74B7A" w:rsidRDefault="00DE09C2" w:rsidP="00357368">
      <w:pPr>
        <w:spacing w:after="0" w:line="240" w:lineRule="auto"/>
        <w:rPr>
          <w:b/>
          <w:szCs w:val="24"/>
        </w:rPr>
      </w:pPr>
      <w:r>
        <w:rPr>
          <w:b/>
          <w:szCs w:val="24"/>
        </w:rPr>
        <w:t>6.15</w:t>
      </w:r>
      <w:r w:rsidR="00357368">
        <w:rPr>
          <w:b/>
          <w:szCs w:val="24"/>
        </w:rPr>
        <w:tab/>
      </w:r>
      <w:r w:rsidR="00357368" w:rsidRPr="00E74B7A">
        <w:rPr>
          <w:b/>
          <w:szCs w:val="24"/>
        </w:rPr>
        <w:t xml:space="preserve">Objection Unit </w:t>
      </w:r>
    </w:p>
    <w:p w:rsidR="00357368" w:rsidRPr="00F3445B" w:rsidRDefault="00357368" w:rsidP="00357368">
      <w:pPr>
        <w:pStyle w:val="ListParagraph"/>
        <w:spacing w:after="0" w:line="240" w:lineRule="auto"/>
        <w:ind w:left="0"/>
        <w:rPr>
          <w:szCs w:val="24"/>
        </w:rPr>
      </w:pPr>
    </w:p>
    <w:p w:rsidR="00357368" w:rsidRPr="00F3445B" w:rsidRDefault="00357368" w:rsidP="00357368">
      <w:pPr>
        <w:pStyle w:val="ListParagraph"/>
        <w:spacing w:after="0" w:line="240" w:lineRule="auto"/>
        <w:ind w:left="0"/>
        <w:jc w:val="both"/>
        <w:rPr>
          <w:szCs w:val="24"/>
        </w:rPr>
      </w:pPr>
      <w:r w:rsidRPr="00F3445B">
        <w:rPr>
          <w:szCs w:val="24"/>
        </w:rPr>
        <w:t>The O</w:t>
      </w:r>
      <w:r>
        <w:rPr>
          <w:szCs w:val="24"/>
        </w:rPr>
        <w:t>U</w:t>
      </w:r>
      <w:r w:rsidRPr="00F3445B">
        <w:rPr>
          <w:szCs w:val="24"/>
        </w:rPr>
        <w:t xml:space="preserve"> consists of two representatives of the R</w:t>
      </w:r>
      <w:r>
        <w:rPr>
          <w:szCs w:val="24"/>
        </w:rPr>
        <w:t>GD</w:t>
      </w:r>
      <w:r w:rsidRPr="00F3445B">
        <w:rPr>
          <w:szCs w:val="24"/>
        </w:rPr>
        <w:t xml:space="preserve"> and a representative of the</w:t>
      </w:r>
      <w:r>
        <w:rPr>
          <w:szCs w:val="24"/>
        </w:rPr>
        <w:t xml:space="preserve"> Valuation Department</w:t>
      </w:r>
      <w:r w:rsidRPr="00F3445B">
        <w:rPr>
          <w:szCs w:val="24"/>
        </w:rPr>
        <w:t xml:space="preserve"> who acts as Chairperson. All </w:t>
      </w:r>
      <w:r>
        <w:rPr>
          <w:szCs w:val="24"/>
        </w:rPr>
        <w:t xml:space="preserve">cases of </w:t>
      </w:r>
      <w:r w:rsidR="002B34E8">
        <w:rPr>
          <w:szCs w:val="24"/>
        </w:rPr>
        <w:t>objections lodged at</w:t>
      </w:r>
      <w:r w:rsidRPr="00F3445B">
        <w:rPr>
          <w:szCs w:val="24"/>
        </w:rPr>
        <w:t xml:space="preserve"> th</w:t>
      </w:r>
      <w:r>
        <w:rPr>
          <w:szCs w:val="24"/>
        </w:rPr>
        <w:t>e OU</w:t>
      </w:r>
      <w:r w:rsidRPr="00F3445B">
        <w:rPr>
          <w:szCs w:val="24"/>
        </w:rPr>
        <w:t xml:space="preserve"> must be dealt with within four months for those </w:t>
      </w:r>
      <w:r>
        <w:rPr>
          <w:szCs w:val="24"/>
        </w:rPr>
        <w:t xml:space="preserve">made as from </w:t>
      </w:r>
      <w:r w:rsidRPr="00F3445B">
        <w:rPr>
          <w:szCs w:val="24"/>
        </w:rPr>
        <w:t>15 June 2015</w:t>
      </w:r>
      <w:r>
        <w:rPr>
          <w:szCs w:val="24"/>
        </w:rPr>
        <w:t>, compared to six months for prior cases</w:t>
      </w:r>
      <w:r w:rsidRPr="00F3445B">
        <w:rPr>
          <w:szCs w:val="24"/>
        </w:rPr>
        <w:t xml:space="preserve">. Any failure by the </w:t>
      </w:r>
      <w:r>
        <w:rPr>
          <w:szCs w:val="24"/>
        </w:rPr>
        <w:t>OU</w:t>
      </w:r>
      <w:r w:rsidRPr="00F3445B">
        <w:rPr>
          <w:szCs w:val="24"/>
        </w:rPr>
        <w:t xml:space="preserve"> to deal with an objection within the prescribed period shall be considered to have been allowed by the R</w:t>
      </w:r>
      <w:r>
        <w:rPr>
          <w:szCs w:val="24"/>
        </w:rPr>
        <w:t xml:space="preserve">GD. </w:t>
      </w:r>
    </w:p>
    <w:p w:rsidR="00357368" w:rsidRDefault="00357368" w:rsidP="00357368">
      <w:pPr>
        <w:spacing w:after="0" w:line="240" w:lineRule="auto"/>
        <w:jc w:val="both"/>
        <w:rPr>
          <w:szCs w:val="24"/>
        </w:rPr>
      </w:pPr>
    </w:p>
    <w:p w:rsidR="00357368" w:rsidRPr="00E74B7A" w:rsidRDefault="00357368" w:rsidP="00357368">
      <w:pPr>
        <w:spacing w:after="0" w:line="240" w:lineRule="auto"/>
        <w:jc w:val="both"/>
        <w:rPr>
          <w:szCs w:val="24"/>
        </w:rPr>
      </w:pPr>
      <w:r w:rsidRPr="00E74B7A">
        <w:rPr>
          <w:szCs w:val="24"/>
        </w:rPr>
        <w:t>Between April 2015 and September 2017, there were 3,817 cases of objections</w:t>
      </w:r>
      <w:r>
        <w:rPr>
          <w:szCs w:val="24"/>
        </w:rPr>
        <w:t>,</w:t>
      </w:r>
      <w:r w:rsidRPr="00E74B7A">
        <w:rPr>
          <w:szCs w:val="24"/>
        </w:rPr>
        <w:t xml:space="preserve"> with tax/duty </w:t>
      </w:r>
      <w:proofErr w:type="spellStart"/>
      <w:r w:rsidRPr="00E74B7A">
        <w:rPr>
          <w:szCs w:val="24"/>
        </w:rPr>
        <w:t>total</w:t>
      </w:r>
      <w:r>
        <w:rPr>
          <w:szCs w:val="24"/>
        </w:rPr>
        <w:t>l</w:t>
      </w:r>
      <w:r w:rsidRPr="00E74B7A">
        <w:rPr>
          <w:szCs w:val="24"/>
        </w:rPr>
        <w:t>ing</w:t>
      </w:r>
      <w:proofErr w:type="spellEnd"/>
      <w:r w:rsidRPr="00E74B7A">
        <w:rPr>
          <w:szCs w:val="24"/>
        </w:rPr>
        <w:t xml:space="preserve"> Rs 408 million</w:t>
      </w:r>
      <w:r>
        <w:rPr>
          <w:szCs w:val="24"/>
        </w:rPr>
        <w:t xml:space="preserve"> that</w:t>
      </w:r>
      <w:r w:rsidRPr="00E74B7A">
        <w:rPr>
          <w:szCs w:val="24"/>
        </w:rPr>
        <w:t xml:space="preserve"> were lodged by 6,817 buyers</w:t>
      </w:r>
      <w:r>
        <w:rPr>
          <w:szCs w:val="24"/>
        </w:rPr>
        <w:t>/</w:t>
      </w:r>
      <w:r w:rsidRPr="00E74B7A">
        <w:rPr>
          <w:szCs w:val="24"/>
        </w:rPr>
        <w:t xml:space="preserve">sellers. Of these, </w:t>
      </w:r>
      <w:r w:rsidR="00D54927">
        <w:rPr>
          <w:szCs w:val="24"/>
        </w:rPr>
        <w:br/>
      </w:r>
      <w:r w:rsidRPr="00E74B7A">
        <w:rPr>
          <w:szCs w:val="24"/>
        </w:rPr>
        <w:t>2,036 cases</w:t>
      </w:r>
      <w:r>
        <w:rPr>
          <w:szCs w:val="24"/>
        </w:rPr>
        <w:t xml:space="preserve"> </w:t>
      </w:r>
      <w:r w:rsidRPr="00E74B7A">
        <w:rPr>
          <w:szCs w:val="24"/>
        </w:rPr>
        <w:t>were settled for a total amount of Rs 176 million</w:t>
      </w:r>
      <w:r w:rsidRPr="00FC0020">
        <w:rPr>
          <w:szCs w:val="24"/>
        </w:rPr>
        <w:t xml:space="preserve"> </w:t>
      </w:r>
      <w:r>
        <w:rPr>
          <w:szCs w:val="24"/>
        </w:rPr>
        <w:t>by</w:t>
      </w:r>
      <w:r w:rsidRPr="00E74B7A">
        <w:rPr>
          <w:szCs w:val="24"/>
        </w:rPr>
        <w:t xml:space="preserve"> 3,562 </w:t>
      </w:r>
      <w:r w:rsidRPr="00320F81">
        <w:rPr>
          <w:szCs w:val="24"/>
        </w:rPr>
        <w:t>buyers/sellers.</w:t>
      </w:r>
    </w:p>
    <w:p w:rsidR="00357368" w:rsidRDefault="00357368" w:rsidP="00357368">
      <w:pPr>
        <w:spacing w:after="0" w:line="240" w:lineRule="auto"/>
        <w:jc w:val="both"/>
        <w:rPr>
          <w:b/>
          <w:i/>
          <w:szCs w:val="24"/>
        </w:rPr>
      </w:pPr>
    </w:p>
    <w:p w:rsidR="00357368" w:rsidRDefault="00357368" w:rsidP="00357368">
      <w:pPr>
        <w:spacing w:after="0" w:line="240" w:lineRule="auto"/>
        <w:jc w:val="both"/>
        <w:rPr>
          <w:b/>
          <w:i/>
          <w:szCs w:val="24"/>
        </w:rPr>
      </w:pPr>
      <w:r w:rsidRPr="00F3445B">
        <w:rPr>
          <w:b/>
          <w:i/>
          <w:szCs w:val="24"/>
        </w:rPr>
        <w:t xml:space="preserve">Observations </w:t>
      </w:r>
    </w:p>
    <w:p w:rsidR="00357368" w:rsidRPr="00F3445B" w:rsidRDefault="00357368" w:rsidP="00357368">
      <w:pPr>
        <w:spacing w:after="0" w:line="240" w:lineRule="auto"/>
        <w:jc w:val="both"/>
        <w:rPr>
          <w:b/>
          <w:i/>
          <w:szCs w:val="24"/>
        </w:rPr>
      </w:pPr>
    </w:p>
    <w:p w:rsidR="00357368" w:rsidRDefault="00357368" w:rsidP="00B628CB">
      <w:pPr>
        <w:pStyle w:val="ListParagraph"/>
        <w:numPr>
          <w:ilvl w:val="0"/>
          <w:numId w:val="20"/>
        </w:numPr>
        <w:spacing w:after="0" w:line="240" w:lineRule="auto"/>
        <w:ind w:left="360"/>
        <w:jc w:val="both"/>
        <w:rPr>
          <w:szCs w:val="24"/>
        </w:rPr>
      </w:pPr>
      <w:r w:rsidRPr="00E74B7A">
        <w:rPr>
          <w:szCs w:val="24"/>
        </w:rPr>
        <w:t>1,503 cases under objections for 2,747 buyers</w:t>
      </w:r>
      <w:r>
        <w:rPr>
          <w:szCs w:val="24"/>
        </w:rPr>
        <w:t>/</w:t>
      </w:r>
      <w:r w:rsidRPr="00E74B7A">
        <w:rPr>
          <w:szCs w:val="24"/>
        </w:rPr>
        <w:t xml:space="preserve">sellers involving a total amount of </w:t>
      </w:r>
      <w:r w:rsidR="00D54927">
        <w:rPr>
          <w:szCs w:val="24"/>
        </w:rPr>
        <w:br/>
      </w:r>
      <w:r w:rsidRPr="00E74B7A">
        <w:rPr>
          <w:szCs w:val="24"/>
        </w:rPr>
        <w:t>Rs 167 million have not yet been heard</w:t>
      </w:r>
      <w:r>
        <w:rPr>
          <w:szCs w:val="24"/>
        </w:rPr>
        <w:t xml:space="preserve"> by the OU</w:t>
      </w:r>
      <w:r w:rsidRPr="00E74B7A">
        <w:rPr>
          <w:szCs w:val="24"/>
        </w:rPr>
        <w:t xml:space="preserve">. Out of the 1,503 cases, there were 545 cases that </w:t>
      </w:r>
      <w:r>
        <w:rPr>
          <w:szCs w:val="24"/>
        </w:rPr>
        <w:t>were</w:t>
      </w:r>
      <w:r w:rsidRPr="00E74B7A">
        <w:rPr>
          <w:szCs w:val="24"/>
        </w:rPr>
        <w:t xml:space="preserve"> deemed to have been allowed</w:t>
      </w:r>
      <w:r>
        <w:rPr>
          <w:szCs w:val="24"/>
        </w:rPr>
        <w:t>,</w:t>
      </w:r>
      <w:r w:rsidRPr="00E74B7A">
        <w:rPr>
          <w:szCs w:val="24"/>
        </w:rPr>
        <w:t xml:space="preserve"> that is lapsed</w:t>
      </w:r>
      <w:r>
        <w:rPr>
          <w:szCs w:val="24"/>
        </w:rPr>
        <w:t>,</w:t>
      </w:r>
      <w:r w:rsidRPr="00E74B7A">
        <w:rPr>
          <w:szCs w:val="24"/>
        </w:rPr>
        <w:t xml:space="preserve"> as the objections have not been heard within the prescribed period. The loss of </w:t>
      </w:r>
      <w:r>
        <w:rPr>
          <w:szCs w:val="24"/>
        </w:rPr>
        <w:t>G</w:t>
      </w:r>
      <w:r w:rsidRPr="00E74B7A">
        <w:rPr>
          <w:szCs w:val="24"/>
        </w:rPr>
        <w:t>overnment revenue amount</w:t>
      </w:r>
      <w:r>
        <w:rPr>
          <w:szCs w:val="24"/>
        </w:rPr>
        <w:t>ed</w:t>
      </w:r>
      <w:r w:rsidRPr="00E74B7A">
        <w:rPr>
          <w:szCs w:val="24"/>
        </w:rPr>
        <w:t xml:space="preserve"> to some Rs 66 million</w:t>
      </w:r>
      <w:r>
        <w:rPr>
          <w:szCs w:val="24"/>
        </w:rPr>
        <w:t>,</w:t>
      </w:r>
      <w:r w:rsidRPr="00E74B7A">
        <w:rPr>
          <w:szCs w:val="24"/>
        </w:rPr>
        <w:t xml:space="preserve"> that </w:t>
      </w:r>
      <w:r>
        <w:rPr>
          <w:szCs w:val="24"/>
        </w:rPr>
        <w:t>were</w:t>
      </w:r>
      <w:r w:rsidRPr="00E74B7A">
        <w:rPr>
          <w:szCs w:val="24"/>
        </w:rPr>
        <w:t xml:space="preserve"> owed by 967 buyers</w:t>
      </w:r>
      <w:r>
        <w:rPr>
          <w:szCs w:val="24"/>
        </w:rPr>
        <w:t>/</w:t>
      </w:r>
      <w:r w:rsidRPr="00E74B7A">
        <w:rPr>
          <w:szCs w:val="24"/>
        </w:rPr>
        <w:t>sellers</w:t>
      </w:r>
      <w:r>
        <w:rPr>
          <w:szCs w:val="24"/>
        </w:rPr>
        <w:t xml:space="preserve"> for the </w:t>
      </w:r>
      <w:r w:rsidR="00D54927">
        <w:rPr>
          <w:szCs w:val="24"/>
        </w:rPr>
        <w:br/>
      </w:r>
      <w:r>
        <w:rPr>
          <w:szCs w:val="24"/>
        </w:rPr>
        <w:t>545 cases;</w:t>
      </w:r>
    </w:p>
    <w:p w:rsidR="00357368" w:rsidRPr="00E74B7A" w:rsidRDefault="00357368" w:rsidP="00067FDF">
      <w:pPr>
        <w:pStyle w:val="ListParagraph"/>
        <w:spacing w:after="0" w:line="240" w:lineRule="auto"/>
        <w:ind w:left="360" w:hanging="360"/>
        <w:jc w:val="both"/>
        <w:rPr>
          <w:szCs w:val="24"/>
        </w:rPr>
      </w:pPr>
    </w:p>
    <w:p w:rsidR="00357368" w:rsidRPr="00A02DA9" w:rsidRDefault="00357368" w:rsidP="00B628CB">
      <w:pPr>
        <w:pStyle w:val="ListParagraph"/>
        <w:numPr>
          <w:ilvl w:val="0"/>
          <w:numId w:val="20"/>
        </w:numPr>
        <w:spacing w:after="0" w:line="240" w:lineRule="auto"/>
        <w:ind w:left="360"/>
        <w:jc w:val="both"/>
        <w:rPr>
          <w:szCs w:val="24"/>
        </w:rPr>
      </w:pPr>
      <w:r w:rsidRPr="00F3445B">
        <w:rPr>
          <w:szCs w:val="24"/>
        </w:rPr>
        <w:t>278 cases of objection</w:t>
      </w:r>
      <w:r>
        <w:rPr>
          <w:szCs w:val="24"/>
        </w:rPr>
        <w:t>s</w:t>
      </w:r>
      <w:r w:rsidRPr="00F3445B">
        <w:rPr>
          <w:szCs w:val="24"/>
        </w:rPr>
        <w:t xml:space="preserve"> </w:t>
      </w:r>
      <w:r>
        <w:rPr>
          <w:szCs w:val="24"/>
        </w:rPr>
        <w:t xml:space="preserve">for </w:t>
      </w:r>
      <w:r w:rsidRPr="00F3445B">
        <w:rPr>
          <w:szCs w:val="24"/>
        </w:rPr>
        <w:t>508 buyers</w:t>
      </w:r>
      <w:r>
        <w:rPr>
          <w:szCs w:val="24"/>
        </w:rPr>
        <w:t>/</w:t>
      </w:r>
      <w:r w:rsidRPr="00F3445B">
        <w:rPr>
          <w:szCs w:val="24"/>
        </w:rPr>
        <w:t xml:space="preserve">sellers have already been heard but still </w:t>
      </w:r>
      <w:r>
        <w:rPr>
          <w:szCs w:val="24"/>
        </w:rPr>
        <w:t>had</w:t>
      </w:r>
      <w:r w:rsidRPr="00F3445B">
        <w:rPr>
          <w:szCs w:val="24"/>
        </w:rPr>
        <w:t xml:space="preserve"> to be settled as at 30 September 2017. </w:t>
      </w:r>
      <w:r>
        <w:rPr>
          <w:szCs w:val="24"/>
        </w:rPr>
        <w:t xml:space="preserve">Amount </w:t>
      </w:r>
      <w:r w:rsidRPr="00F3445B">
        <w:rPr>
          <w:szCs w:val="24"/>
        </w:rPr>
        <w:t xml:space="preserve">involved </w:t>
      </w:r>
      <w:proofErr w:type="spellStart"/>
      <w:r w:rsidRPr="00F3445B">
        <w:rPr>
          <w:szCs w:val="24"/>
        </w:rPr>
        <w:t>tota</w:t>
      </w:r>
      <w:r>
        <w:rPr>
          <w:szCs w:val="24"/>
        </w:rPr>
        <w:t>l</w:t>
      </w:r>
      <w:r w:rsidRPr="00F3445B">
        <w:rPr>
          <w:szCs w:val="24"/>
        </w:rPr>
        <w:t>l</w:t>
      </w:r>
      <w:r>
        <w:rPr>
          <w:szCs w:val="24"/>
        </w:rPr>
        <w:t>ed</w:t>
      </w:r>
      <w:proofErr w:type="spellEnd"/>
      <w:r w:rsidRPr="00F3445B">
        <w:rPr>
          <w:szCs w:val="24"/>
        </w:rPr>
        <w:t xml:space="preserve"> some Rs 60 million</w:t>
      </w:r>
      <w:r>
        <w:rPr>
          <w:szCs w:val="24"/>
        </w:rPr>
        <w:t>;</w:t>
      </w:r>
    </w:p>
    <w:p w:rsidR="00357368" w:rsidRPr="00CF108C" w:rsidRDefault="00357368" w:rsidP="00067FDF">
      <w:pPr>
        <w:pStyle w:val="ListParagraph"/>
        <w:spacing w:after="0" w:line="240" w:lineRule="auto"/>
        <w:ind w:left="360" w:hanging="360"/>
        <w:jc w:val="both"/>
        <w:rPr>
          <w:szCs w:val="24"/>
        </w:rPr>
      </w:pPr>
    </w:p>
    <w:p w:rsidR="00357368" w:rsidRPr="00CF108C" w:rsidRDefault="00357368" w:rsidP="00B628CB">
      <w:pPr>
        <w:pStyle w:val="ListParagraph"/>
        <w:numPr>
          <w:ilvl w:val="0"/>
          <w:numId w:val="14"/>
        </w:numPr>
        <w:spacing w:after="0" w:line="240" w:lineRule="auto"/>
        <w:ind w:left="360"/>
        <w:jc w:val="both"/>
        <w:rPr>
          <w:i/>
          <w:szCs w:val="24"/>
        </w:rPr>
      </w:pPr>
      <w:r w:rsidRPr="00CF108C">
        <w:rPr>
          <w:szCs w:val="24"/>
        </w:rPr>
        <w:t xml:space="preserve">In 2016-17, 483 objection cases were lodged at the OU, involving </w:t>
      </w:r>
      <w:r w:rsidR="00D54927">
        <w:rPr>
          <w:szCs w:val="24"/>
        </w:rPr>
        <w:br/>
      </w:r>
      <w:r w:rsidRPr="00CF108C">
        <w:rPr>
          <w:szCs w:val="24"/>
        </w:rPr>
        <w:t xml:space="preserve">1,734 buyers/sellers with additional tax claimed </w:t>
      </w:r>
      <w:proofErr w:type="spellStart"/>
      <w:r w:rsidRPr="00CF108C">
        <w:rPr>
          <w:szCs w:val="24"/>
        </w:rPr>
        <w:t>totalling</w:t>
      </w:r>
      <w:proofErr w:type="spellEnd"/>
      <w:r w:rsidRPr="00CF108C">
        <w:rPr>
          <w:szCs w:val="24"/>
        </w:rPr>
        <w:t xml:space="preserve"> Rs 172.8 million. Only five cases were settled. The status of the remaining 478 cases was not known; </w:t>
      </w:r>
    </w:p>
    <w:p w:rsidR="00357368" w:rsidRPr="00CF108C" w:rsidRDefault="00357368" w:rsidP="00067FDF">
      <w:pPr>
        <w:pStyle w:val="ListParagraph"/>
        <w:spacing w:after="0" w:line="240" w:lineRule="auto"/>
        <w:ind w:left="360" w:hanging="360"/>
        <w:jc w:val="both"/>
        <w:rPr>
          <w:i/>
          <w:szCs w:val="24"/>
        </w:rPr>
      </w:pPr>
    </w:p>
    <w:p w:rsidR="00357368" w:rsidRPr="00CF108C" w:rsidRDefault="00357368" w:rsidP="00B628CB">
      <w:pPr>
        <w:pStyle w:val="ListParagraph"/>
        <w:numPr>
          <w:ilvl w:val="0"/>
          <w:numId w:val="14"/>
        </w:numPr>
        <w:spacing w:after="0" w:line="240" w:lineRule="auto"/>
        <w:ind w:left="360"/>
        <w:jc w:val="both"/>
        <w:rPr>
          <w:i/>
          <w:szCs w:val="24"/>
        </w:rPr>
      </w:pPr>
      <w:r w:rsidRPr="00CF108C">
        <w:rPr>
          <w:szCs w:val="24"/>
        </w:rPr>
        <w:t>No proper Register was kept to record all cases under objections, together with their current status.</w:t>
      </w:r>
    </w:p>
    <w:p w:rsidR="00D54927" w:rsidRDefault="00D54927">
      <w:pPr>
        <w:rPr>
          <w:i/>
          <w:color w:val="FF0000"/>
          <w:szCs w:val="24"/>
        </w:rPr>
      </w:pPr>
      <w:r>
        <w:rPr>
          <w:i/>
          <w:color w:val="FF0000"/>
          <w:szCs w:val="24"/>
        </w:rPr>
        <w:br w:type="page"/>
      </w:r>
    </w:p>
    <w:p w:rsidR="00357368" w:rsidRDefault="00DE09C2" w:rsidP="00357368">
      <w:pPr>
        <w:spacing w:after="0" w:line="240" w:lineRule="auto"/>
        <w:rPr>
          <w:b/>
          <w:szCs w:val="24"/>
        </w:rPr>
      </w:pPr>
      <w:r>
        <w:rPr>
          <w:b/>
          <w:szCs w:val="24"/>
        </w:rPr>
        <w:lastRenderedPageBreak/>
        <w:t>6.16</w:t>
      </w:r>
      <w:r w:rsidR="00357368">
        <w:rPr>
          <w:b/>
          <w:szCs w:val="24"/>
        </w:rPr>
        <w:tab/>
      </w:r>
      <w:r w:rsidR="00357368" w:rsidRPr="00904C17">
        <w:rPr>
          <w:b/>
          <w:szCs w:val="24"/>
        </w:rPr>
        <w:t>Assessment Review Committee Cases</w:t>
      </w:r>
    </w:p>
    <w:p w:rsidR="00357368" w:rsidRPr="00D20421" w:rsidRDefault="00357368" w:rsidP="00357368">
      <w:pPr>
        <w:spacing w:after="0" w:line="240" w:lineRule="auto"/>
        <w:contextualSpacing/>
        <w:jc w:val="both"/>
        <w:rPr>
          <w:b/>
          <w:i/>
          <w:szCs w:val="24"/>
        </w:rPr>
      </w:pPr>
    </w:p>
    <w:p w:rsidR="00357368" w:rsidRPr="001A3DEB" w:rsidRDefault="00357368" w:rsidP="00B628CB">
      <w:pPr>
        <w:numPr>
          <w:ilvl w:val="0"/>
          <w:numId w:val="21"/>
        </w:numPr>
        <w:tabs>
          <w:tab w:val="left" w:pos="720"/>
        </w:tabs>
        <w:spacing w:after="0" w:line="240" w:lineRule="auto"/>
        <w:ind w:left="360"/>
        <w:contextualSpacing/>
        <w:jc w:val="both"/>
        <w:rPr>
          <w:szCs w:val="24"/>
        </w:rPr>
      </w:pPr>
      <w:r>
        <w:rPr>
          <w:szCs w:val="24"/>
        </w:rPr>
        <w:t xml:space="preserve">At paragraph 7.14.2 of the Audit Report for the 18-month period 1 January 2015 to </w:t>
      </w:r>
      <w:r w:rsidR="00D54927">
        <w:rPr>
          <w:szCs w:val="24"/>
        </w:rPr>
        <w:br/>
      </w:r>
      <w:r>
        <w:rPr>
          <w:szCs w:val="24"/>
        </w:rPr>
        <w:t>30 June 2016, I reported two</w:t>
      </w:r>
      <w:r w:rsidRPr="001A3DEB">
        <w:rPr>
          <w:szCs w:val="24"/>
        </w:rPr>
        <w:t xml:space="preserve"> cases </w:t>
      </w:r>
      <w:proofErr w:type="spellStart"/>
      <w:r w:rsidRPr="001A3DEB">
        <w:rPr>
          <w:szCs w:val="24"/>
        </w:rPr>
        <w:t>totall</w:t>
      </w:r>
      <w:r>
        <w:rPr>
          <w:szCs w:val="24"/>
        </w:rPr>
        <w:t>ing</w:t>
      </w:r>
      <w:proofErr w:type="spellEnd"/>
      <w:r w:rsidRPr="001A3DEB">
        <w:rPr>
          <w:szCs w:val="24"/>
        </w:rPr>
        <w:t xml:space="preserve"> Rs 105 million</w:t>
      </w:r>
      <w:r>
        <w:rPr>
          <w:szCs w:val="24"/>
        </w:rPr>
        <w:t xml:space="preserve"> that</w:t>
      </w:r>
      <w:r w:rsidRPr="001A3DEB">
        <w:rPr>
          <w:szCs w:val="24"/>
        </w:rPr>
        <w:t xml:space="preserve"> were under objection at the ARC since October 2014</w:t>
      </w:r>
      <w:r>
        <w:rPr>
          <w:szCs w:val="24"/>
        </w:rPr>
        <w:t xml:space="preserve">. </w:t>
      </w:r>
      <w:r w:rsidRPr="001A3DEB">
        <w:rPr>
          <w:szCs w:val="24"/>
        </w:rPr>
        <w:t>No further outcome was known</w:t>
      </w:r>
      <w:r>
        <w:rPr>
          <w:szCs w:val="24"/>
        </w:rPr>
        <w:t xml:space="preserve"> as at January 2018, that is, more than four</w:t>
      </w:r>
      <w:r w:rsidRPr="001A3DEB">
        <w:rPr>
          <w:szCs w:val="24"/>
        </w:rPr>
        <w:t xml:space="preserve"> years later</w:t>
      </w:r>
      <w:r>
        <w:rPr>
          <w:szCs w:val="24"/>
        </w:rPr>
        <w:t>;</w:t>
      </w:r>
    </w:p>
    <w:p w:rsidR="00357368" w:rsidRPr="00F3445B" w:rsidRDefault="00357368" w:rsidP="00357368">
      <w:pPr>
        <w:pStyle w:val="ListParagraph"/>
        <w:tabs>
          <w:tab w:val="center" w:pos="5040"/>
        </w:tabs>
        <w:spacing w:after="0" w:line="240" w:lineRule="auto"/>
        <w:ind w:left="360"/>
        <w:rPr>
          <w:i/>
          <w:color w:val="000000" w:themeColor="text1"/>
          <w:szCs w:val="24"/>
        </w:rPr>
      </w:pPr>
    </w:p>
    <w:p w:rsidR="00357368" w:rsidRPr="00D54927" w:rsidRDefault="00357368" w:rsidP="00B628CB">
      <w:pPr>
        <w:pStyle w:val="ListParagraph"/>
        <w:numPr>
          <w:ilvl w:val="0"/>
          <w:numId w:val="16"/>
        </w:numPr>
        <w:spacing w:after="0" w:line="240" w:lineRule="auto"/>
        <w:ind w:left="360"/>
        <w:jc w:val="both"/>
        <w:rPr>
          <w:szCs w:val="24"/>
        </w:rPr>
      </w:pPr>
      <w:r w:rsidRPr="00D54927">
        <w:rPr>
          <w:szCs w:val="24"/>
        </w:rPr>
        <w:t xml:space="preserve">As at 31 October 2017, there were 1,428 cases that were yet to be determined at the ARC, of which 1,032 cases, </w:t>
      </w:r>
      <w:proofErr w:type="spellStart"/>
      <w:r w:rsidRPr="00D54927">
        <w:rPr>
          <w:szCs w:val="24"/>
        </w:rPr>
        <w:t>tota</w:t>
      </w:r>
      <w:r w:rsidR="00CD425E">
        <w:rPr>
          <w:szCs w:val="24"/>
        </w:rPr>
        <w:t>l</w:t>
      </w:r>
      <w:r w:rsidRPr="00D54927">
        <w:rPr>
          <w:szCs w:val="24"/>
        </w:rPr>
        <w:t>ling</w:t>
      </w:r>
      <w:proofErr w:type="spellEnd"/>
      <w:r w:rsidRPr="00D54927">
        <w:rPr>
          <w:szCs w:val="24"/>
        </w:rPr>
        <w:t xml:space="preserve"> Rs 222.3 million were long outstanding, some as far back as 2007 as shown in Table </w:t>
      </w:r>
      <w:r w:rsidR="00CA4A50">
        <w:rPr>
          <w:szCs w:val="24"/>
        </w:rPr>
        <w:t>6.19</w:t>
      </w:r>
      <w:r w:rsidRPr="00D54927">
        <w:rPr>
          <w:szCs w:val="24"/>
        </w:rPr>
        <w:t>.</w:t>
      </w:r>
    </w:p>
    <w:p w:rsidR="00357368" w:rsidRDefault="00357368" w:rsidP="00357368">
      <w:pPr>
        <w:pStyle w:val="ListParagraph"/>
        <w:spacing w:after="0" w:line="240" w:lineRule="auto"/>
        <w:jc w:val="both"/>
        <w:rPr>
          <w:szCs w:val="24"/>
        </w:rPr>
      </w:pPr>
    </w:p>
    <w:p w:rsidR="00357368" w:rsidRDefault="00357368" w:rsidP="00357368">
      <w:pPr>
        <w:spacing w:after="0" w:line="240" w:lineRule="auto"/>
        <w:jc w:val="center"/>
        <w:rPr>
          <w:i/>
          <w:szCs w:val="24"/>
        </w:rPr>
      </w:pPr>
      <w:r w:rsidRPr="007119E0">
        <w:rPr>
          <w:i/>
          <w:szCs w:val="24"/>
        </w:rPr>
        <w:t xml:space="preserve">Table </w:t>
      </w:r>
      <w:bookmarkStart w:id="21" w:name="_Hlk507250884"/>
      <w:r w:rsidR="00E26960">
        <w:rPr>
          <w:i/>
          <w:szCs w:val="24"/>
        </w:rPr>
        <w:t>6-</w:t>
      </w:r>
      <w:proofErr w:type="gramStart"/>
      <w:r w:rsidR="00CA4A50">
        <w:rPr>
          <w:i/>
          <w:szCs w:val="24"/>
        </w:rPr>
        <w:t>19</w:t>
      </w:r>
      <w:r w:rsidR="009301C7">
        <w:rPr>
          <w:i/>
          <w:szCs w:val="24"/>
        </w:rPr>
        <w:t xml:space="preserve"> </w:t>
      </w:r>
      <w:r w:rsidRPr="007119E0">
        <w:rPr>
          <w:i/>
          <w:szCs w:val="24"/>
        </w:rPr>
        <w:t xml:space="preserve"> Total</w:t>
      </w:r>
      <w:proofErr w:type="gramEnd"/>
      <w:r w:rsidRPr="007119E0">
        <w:rPr>
          <w:i/>
          <w:szCs w:val="24"/>
        </w:rPr>
        <w:t xml:space="preserve"> number of ARC cases prior to May 2015</w:t>
      </w:r>
      <w:bookmarkEnd w:id="21"/>
    </w:p>
    <w:p w:rsidR="00357368" w:rsidRDefault="00357368" w:rsidP="00357368">
      <w:pPr>
        <w:spacing w:after="0" w:line="240" w:lineRule="auto"/>
        <w:rPr>
          <w:i/>
          <w:szCs w:val="24"/>
        </w:rPr>
      </w:pPr>
    </w:p>
    <w:p w:rsidR="00D54927" w:rsidRPr="007119E0" w:rsidRDefault="00D54927" w:rsidP="00D54927">
      <w:pPr>
        <w:pBdr>
          <w:top w:val="single" w:sz="4" w:space="1" w:color="auto"/>
        </w:pBdr>
        <w:spacing w:after="0" w:line="240" w:lineRule="auto"/>
        <w:rPr>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9"/>
        <w:gridCol w:w="1596"/>
        <w:gridCol w:w="1536"/>
      </w:tblGrid>
      <w:tr w:rsidR="00357368" w:rsidRPr="00904C17" w:rsidTr="00037804">
        <w:trPr>
          <w:trHeight w:val="20"/>
          <w:jc w:val="center"/>
        </w:trPr>
        <w:tc>
          <w:tcPr>
            <w:tcW w:w="2759" w:type="dxa"/>
            <w:tcMar>
              <w:bottom w:w="142" w:type="dxa"/>
            </w:tcMar>
          </w:tcPr>
          <w:p w:rsidR="00357368" w:rsidRPr="00904C17" w:rsidRDefault="00357368" w:rsidP="00B06B3C">
            <w:pPr>
              <w:spacing w:before="40" w:after="60"/>
              <w:jc w:val="center"/>
              <w:rPr>
                <w:b/>
                <w:szCs w:val="24"/>
              </w:rPr>
            </w:pPr>
            <w:r w:rsidRPr="00904C17">
              <w:rPr>
                <w:b/>
                <w:szCs w:val="24"/>
              </w:rPr>
              <w:t>Period</w:t>
            </w:r>
          </w:p>
        </w:tc>
        <w:tc>
          <w:tcPr>
            <w:tcW w:w="1596" w:type="dxa"/>
            <w:tcMar>
              <w:bottom w:w="142" w:type="dxa"/>
            </w:tcMar>
          </w:tcPr>
          <w:p w:rsidR="00357368" w:rsidRPr="00904C17" w:rsidRDefault="00357368" w:rsidP="00B06B3C">
            <w:pPr>
              <w:spacing w:before="40" w:after="60"/>
              <w:jc w:val="center"/>
              <w:rPr>
                <w:b/>
                <w:szCs w:val="24"/>
              </w:rPr>
            </w:pPr>
            <w:r w:rsidRPr="00904C17">
              <w:rPr>
                <w:b/>
                <w:szCs w:val="24"/>
              </w:rPr>
              <w:t>No of</w:t>
            </w:r>
            <w:r w:rsidR="00D67A2B">
              <w:rPr>
                <w:b/>
                <w:szCs w:val="24"/>
              </w:rPr>
              <w:t xml:space="preserve"> </w:t>
            </w:r>
            <w:r w:rsidRPr="00904C17">
              <w:rPr>
                <w:b/>
                <w:szCs w:val="24"/>
              </w:rPr>
              <w:t>cases</w:t>
            </w:r>
          </w:p>
        </w:tc>
        <w:tc>
          <w:tcPr>
            <w:tcW w:w="1536" w:type="dxa"/>
            <w:tcMar>
              <w:bottom w:w="142" w:type="dxa"/>
            </w:tcMar>
          </w:tcPr>
          <w:p w:rsidR="00357368" w:rsidRPr="00904C17" w:rsidRDefault="00357368" w:rsidP="00B06B3C">
            <w:pPr>
              <w:spacing w:before="40" w:after="60"/>
              <w:jc w:val="center"/>
              <w:rPr>
                <w:b/>
                <w:szCs w:val="24"/>
              </w:rPr>
            </w:pPr>
            <w:r w:rsidRPr="00904C17">
              <w:rPr>
                <w:b/>
                <w:szCs w:val="24"/>
              </w:rPr>
              <w:t xml:space="preserve">Rs </w:t>
            </w:r>
            <w:r>
              <w:rPr>
                <w:b/>
                <w:szCs w:val="24"/>
              </w:rPr>
              <w:t>Million</w:t>
            </w:r>
          </w:p>
        </w:tc>
      </w:tr>
      <w:tr w:rsidR="00357368" w:rsidRPr="00904C17" w:rsidTr="00037804">
        <w:trPr>
          <w:trHeight w:val="20"/>
          <w:jc w:val="center"/>
        </w:trPr>
        <w:tc>
          <w:tcPr>
            <w:tcW w:w="2759" w:type="dxa"/>
            <w:tcMar>
              <w:bottom w:w="142" w:type="dxa"/>
            </w:tcMar>
          </w:tcPr>
          <w:p w:rsidR="00357368" w:rsidRPr="00904C17" w:rsidRDefault="00357368" w:rsidP="00B06B3C">
            <w:pPr>
              <w:spacing w:before="40" w:after="60"/>
              <w:rPr>
                <w:szCs w:val="24"/>
              </w:rPr>
            </w:pPr>
            <w:r w:rsidRPr="00904C17">
              <w:rPr>
                <w:szCs w:val="24"/>
              </w:rPr>
              <w:t xml:space="preserve">Prior to </w:t>
            </w:r>
            <w:r>
              <w:rPr>
                <w:szCs w:val="24"/>
              </w:rPr>
              <w:t>December</w:t>
            </w:r>
            <w:r w:rsidRPr="00904C17">
              <w:rPr>
                <w:szCs w:val="24"/>
              </w:rPr>
              <w:t xml:space="preserve"> 20</w:t>
            </w:r>
            <w:r>
              <w:rPr>
                <w:szCs w:val="24"/>
              </w:rPr>
              <w:t>0</w:t>
            </w:r>
            <w:r w:rsidRPr="00904C17">
              <w:rPr>
                <w:szCs w:val="24"/>
              </w:rPr>
              <w:t>7</w:t>
            </w:r>
          </w:p>
        </w:tc>
        <w:tc>
          <w:tcPr>
            <w:tcW w:w="1596" w:type="dxa"/>
            <w:tcMar>
              <w:bottom w:w="142" w:type="dxa"/>
            </w:tcMar>
          </w:tcPr>
          <w:p w:rsidR="00357368" w:rsidRPr="00904C17" w:rsidRDefault="00357368" w:rsidP="00B06B3C">
            <w:pPr>
              <w:spacing w:before="40" w:after="60"/>
              <w:ind w:right="323"/>
              <w:jc w:val="right"/>
              <w:rPr>
                <w:szCs w:val="24"/>
              </w:rPr>
            </w:pPr>
            <w:r w:rsidRPr="00904C17">
              <w:rPr>
                <w:szCs w:val="24"/>
              </w:rPr>
              <w:t>149</w:t>
            </w:r>
          </w:p>
        </w:tc>
        <w:tc>
          <w:tcPr>
            <w:tcW w:w="1536" w:type="dxa"/>
            <w:tcMar>
              <w:bottom w:w="142" w:type="dxa"/>
            </w:tcMar>
          </w:tcPr>
          <w:p w:rsidR="00357368" w:rsidRPr="00904C17" w:rsidRDefault="00357368" w:rsidP="00B06B3C">
            <w:pPr>
              <w:spacing w:before="40" w:after="60"/>
              <w:ind w:right="329"/>
              <w:jc w:val="right"/>
              <w:rPr>
                <w:szCs w:val="24"/>
              </w:rPr>
            </w:pPr>
            <w:r w:rsidRPr="00904C17">
              <w:rPr>
                <w:szCs w:val="24"/>
              </w:rPr>
              <w:t>6</w:t>
            </w:r>
            <w:r>
              <w:rPr>
                <w:szCs w:val="24"/>
              </w:rPr>
              <w:t>.1</w:t>
            </w:r>
          </w:p>
        </w:tc>
      </w:tr>
      <w:tr w:rsidR="00357368" w:rsidRPr="00904C17" w:rsidTr="00037804">
        <w:trPr>
          <w:trHeight w:val="20"/>
          <w:jc w:val="center"/>
        </w:trPr>
        <w:tc>
          <w:tcPr>
            <w:tcW w:w="2759" w:type="dxa"/>
            <w:tcMar>
              <w:bottom w:w="142" w:type="dxa"/>
            </w:tcMar>
          </w:tcPr>
          <w:p w:rsidR="00357368" w:rsidRPr="00904C17" w:rsidRDefault="00357368" w:rsidP="00B06B3C">
            <w:pPr>
              <w:spacing w:before="40" w:after="60"/>
              <w:rPr>
                <w:szCs w:val="24"/>
              </w:rPr>
            </w:pPr>
            <w:r w:rsidRPr="00904C17">
              <w:rPr>
                <w:szCs w:val="24"/>
              </w:rPr>
              <w:t>2008-2011</w:t>
            </w:r>
          </w:p>
        </w:tc>
        <w:tc>
          <w:tcPr>
            <w:tcW w:w="1596" w:type="dxa"/>
            <w:tcMar>
              <w:bottom w:w="142" w:type="dxa"/>
            </w:tcMar>
          </w:tcPr>
          <w:p w:rsidR="00357368" w:rsidRPr="00904C17" w:rsidRDefault="00357368" w:rsidP="00B06B3C">
            <w:pPr>
              <w:spacing w:before="40" w:after="60"/>
              <w:ind w:right="323"/>
              <w:jc w:val="right"/>
              <w:rPr>
                <w:szCs w:val="24"/>
              </w:rPr>
            </w:pPr>
            <w:r w:rsidRPr="00904C17">
              <w:rPr>
                <w:szCs w:val="24"/>
              </w:rPr>
              <w:t>534</w:t>
            </w:r>
          </w:p>
        </w:tc>
        <w:tc>
          <w:tcPr>
            <w:tcW w:w="1536" w:type="dxa"/>
            <w:tcMar>
              <w:bottom w:w="142" w:type="dxa"/>
            </w:tcMar>
          </w:tcPr>
          <w:p w:rsidR="00357368" w:rsidRPr="00904C17" w:rsidRDefault="00357368" w:rsidP="00B06B3C">
            <w:pPr>
              <w:spacing w:before="40" w:after="60"/>
              <w:ind w:right="329"/>
              <w:jc w:val="right"/>
              <w:rPr>
                <w:szCs w:val="24"/>
              </w:rPr>
            </w:pPr>
            <w:r w:rsidRPr="00904C17">
              <w:rPr>
                <w:szCs w:val="24"/>
              </w:rPr>
              <w:t>52</w:t>
            </w:r>
            <w:r>
              <w:rPr>
                <w:szCs w:val="24"/>
              </w:rPr>
              <w:t>.0</w:t>
            </w:r>
          </w:p>
        </w:tc>
      </w:tr>
      <w:tr w:rsidR="00357368" w:rsidRPr="00904C17" w:rsidTr="00037804">
        <w:trPr>
          <w:trHeight w:val="20"/>
          <w:jc w:val="center"/>
        </w:trPr>
        <w:tc>
          <w:tcPr>
            <w:tcW w:w="2759" w:type="dxa"/>
            <w:tcMar>
              <w:bottom w:w="142" w:type="dxa"/>
            </w:tcMar>
          </w:tcPr>
          <w:p w:rsidR="00357368" w:rsidRPr="00904C17" w:rsidRDefault="00357368" w:rsidP="00B06B3C">
            <w:pPr>
              <w:spacing w:before="40" w:after="60"/>
              <w:rPr>
                <w:szCs w:val="24"/>
              </w:rPr>
            </w:pPr>
            <w:r w:rsidRPr="00904C17">
              <w:rPr>
                <w:szCs w:val="24"/>
              </w:rPr>
              <w:t>2012- May 2015</w:t>
            </w:r>
          </w:p>
        </w:tc>
        <w:tc>
          <w:tcPr>
            <w:tcW w:w="1596" w:type="dxa"/>
            <w:tcMar>
              <w:bottom w:w="142" w:type="dxa"/>
            </w:tcMar>
          </w:tcPr>
          <w:p w:rsidR="00357368" w:rsidRPr="00904C17" w:rsidRDefault="00357368" w:rsidP="00B06B3C">
            <w:pPr>
              <w:spacing w:before="40" w:after="60"/>
              <w:ind w:right="323"/>
              <w:jc w:val="right"/>
              <w:rPr>
                <w:szCs w:val="24"/>
              </w:rPr>
            </w:pPr>
            <w:r w:rsidRPr="00904C17">
              <w:rPr>
                <w:szCs w:val="24"/>
              </w:rPr>
              <w:t>349</w:t>
            </w:r>
          </w:p>
        </w:tc>
        <w:tc>
          <w:tcPr>
            <w:tcW w:w="1536" w:type="dxa"/>
            <w:tcMar>
              <w:bottom w:w="142" w:type="dxa"/>
            </w:tcMar>
          </w:tcPr>
          <w:p w:rsidR="00357368" w:rsidRPr="00904C17" w:rsidRDefault="00357368" w:rsidP="00B06B3C">
            <w:pPr>
              <w:spacing w:before="40" w:after="60"/>
              <w:ind w:right="329"/>
              <w:jc w:val="right"/>
              <w:rPr>
                <w:szCs w:val="24"/>
              </w:rPr>
            </w:pPr>
            <w:r w:rsidRPr="00904C17">
              <w:rPr>
                <w:szCs w:val="24"/>
              </w:rPr>
              <w:t>164</w:t>
            </w:r>
            <w:r>
              <w:rPr>
                <w:szCs w:val="24"/>
              </w:rPr>
              <w:t xml:space="preserve">.2 </w:t>
            </w:r>
          </w:p>
        </w:tc>
      </w:tr>
      <w:tr w:rsidR="00357368" w:rsidRPr="00904C17" w:rsidTr="00037804">
        <w:trPr>
          <w:trHeight w:val="20"/>
          <w:jc w:val="center"/>
        </w:trPr>
        <w:tc>
          <w:tcPr>
            <w:tcW w:w="2759" w:type="dxa"/>
          </w:tcPr>
          <w:p w:rsidR="00357368" w:rsidRPr="00904C17" w:rsidRDefault="00357368" w:rsidP="00B06B3C">
            <w:pPr>
              <w:spacing w:before="40" w:after="60"/>
              <w:rPr>
                <w:b/>
                <w:szCs w:val="24"/>
              </w:rPr>
            </w:pPr>
            <w:r w:rsidRPr="00904C17">
              <w:rPr>
                <w:b/>
                <w:szCs w:val="24"/>
              </w:rPr>
              <w:t>Total</w:t>
            </w:r>
          </w:p>
        </w:tc>
        <w:tc>
          <w:tcPr>
            <w:tcW w:w="1596" w:type="dxa"/>
          </w:tcPr>
          <w:p w:rsidR="00357368" w:rsidRPr="00904C17" w:rsidRDefault="00357368" w:rsidP="00B06B3C">
            <w:pPr>
              <w:spacing w:before="40" w:after="60"/>
              <w:ind w:right="323"/>
              <w:jc w:val="right"/>
              <w:rPr>
                <w:b/>
                <w:bCs/>
                <w:szCs w:val="24"/>
              </w:rPr>
            </w:pPr>
            <w:r w:rsidRPr="00904C17">
              <w:rPr>
                <w:b/>
                <w:bCs/>
                <w:szCs w:val="24"/>
              </w:rPr>
              <w:t>1</w:t>
            </w:r>
            <w:r>
              <w:rPr>
                <w:b/>
                <w:bCs/>
                <w:szCs w:val="24"/>
              </w:rPr>
              <w:t>,</w:t>
            </w:r>
            <w:r w:rsidRPr="00904C17">
              <w:rPr>
                <w:b/>
                <w:bCs/>
                <w:szCs w:val="24"/>
              </w:rPr>
              <w:t>032</w:t>
            </w:r>
          </w:p>
        </w:tc>
        <w:tc>
          <w:tcPr>
            <w:tcW w:w="1536" w:type="dxa"/>
          </w:tcPr>
          <w:p w:rsidR="00357368" w:rsidRPr="00904C17" w:rsidRDefault="00357368" w:rsidP="00B06B3C">
            <w:pPr>
              <w:spacing w:before="40" w:after="60"/>
              <w:ind w:right="329"/>
              <w:jc w:val="right"/>
              <w:rPr>
                <w:b/>
                <w:bCs/>
                <w:szCs w:val="24"/>
              </w:rPr>
            </w:pPr>
            <w:r w:rsidRPr="00904C17">
              <w:rPr>
                <w:b/>
                <w:bCs/>
                <w:szCs w:val="24"/>
              </w:rPr>
              <w:t>222</w:t>
            </w:r>
            <w:r>
              <w:rPr>
                <w:b/>
                <w:bCs/>
                <w:szCs w:val="24"/>
              </w:rPr>
              <w:t>.3</w:t>
            </w:r>
          </w:p>
        </w:tc>
      </w:tr>
    </w:tbl>
    <w:p w:rsidR="00357368" w:rsidRDefault="00357368" w:rsidP="00357368">
      <w:pPr>
        <w:spacing w:after="0" w:line="240" w:lineRule="auto"/>
        <w:rPr>
          <w:szCs w:val="24"/>
        </w:rPr>
      </w:pPr>
      <w:r>
        <w:rPr>
          <w:szCs w:val="24"/>
        </w:rPr>
        <w:t>_______________________________________________________________</w:t>
      </w:r>
      <w:r w:rsidR="000A07DA">
        <w:rPr>
          <w:szCs w:val="24"/>
        </w:rPr>
        <w:t>_________</w:t>
      </w:r>
    </w:p>
    <w:p w:rsidR="00357368" w:rsidRDefault="00357368" w:rsidP="00D54927">
      <w:pPr>
        <w:spacing w:after="0" w:line="240" w:lineRule="auto"/>
        <w:rPr>
          <w:i/>
          <w:sz w:val="20"/>
          <w:szCs w:val="20"/>
        </w:rPr>
      </w:pPr>
      <w:proofErr w:type="gramStart"/>
      <w:r w:rsidRPr="00CF108C">
        <w:rPr>
          <w:i/>
          <w:sz w:val="20"/>
          <w:szCs w:val="20"/>
        </w:rPr>
        <w:t>Source :</w:t>
      </w:r>
      <w:proofErr w:type="gramEnd"/>
      <w:r w:rsidRPr="00CF108C">
        <w:rPr>
          <w:i/>
          <w:sz w:val="20"/>
          <w:szCs w:val="20"/>
        </w:rPr>
        <w:t xml:space="preserve"> M</w:t>
      </w:r>
      <w:r>
        <w:rPr>
          <w:i/>
          <w:sz w:val="20"/>
          <w:szCs w:val="20"/>
        </w:rPr>
        <w:t>onitoring File of Valuation Unit</w:t>
      </w:r>
    </w:p>
    <w:p w:rsidR="00357368" w:rsidRDefault="00357368" w:rsidP="00357368">
      <w:pPr>
        <w:spacing w:after="0" w:line="240" w:lineRule="auto"/>
        <w:rPr>
          <w:b/>
          <w:szCs w:val="24"/>
        </w:rPr>
      </w:pPr>
    </w:p>
    <w:p w:rsidR="00037804" w:rsidRDefault="00037804" w:rsidP="00357368">
      <w:pPr>
        <w:spacing w:after="0" w:line="240" w:lineRule="auto"/>
        <w:rPr>
          <w:b/>
          <w:szCs w:val="24"/>
        </w:rPr>
      </w:pPr>
    </w:p>
    <w:p w:rsidR="00357368" w:rsidRPr="00F3445B" w:rsidRDefault="00DE09C2" w:rsidP="00357368">
      <w:pPr>
        <w:spacing w:after="0" w:line="240" w:lineRule="auto"/>
        <w:rPr>
          <w:b/>
          <w:szCs w:val="24"/>
        </w:rPr>
      </w:pPr>
      <w:r>
        <w:rPr>
          <w:b/>
          <w:szCs w:val="24"/>
        </w:rPr>
        <w:t>6.17</w:t>
      </w:r>
      <w:r w:rsidR="00357368">
        <w:rPr>
          <w:b/>
          <w:szCs w:val="24"/>
        </w:rPr>
        <w:tab/>
      </w:r>
      <w:r w:rsidR="00357368" w:rsidRPr="00F3445B">
        <w:rPr>
          <w:b/>
          <w:szCs w:val="24"/>
        </w:rPr>
        <w:t xml:space="preserve">Referred to Judiciary- </w:t>
      </w:r>
      <w:proofErr w:type="spellStart"/>
      <w:r w:rsidR="00357368" w:rsidRPr="00F3445B">
        <w:rPr>
          <w:b/>
          <w:szCs w:val="24"/>
        </w:rPr>
        <w:t>Contrainte</w:t>
      </w:r>
      <w:proofErr w:type="spellEnd"/>
    </w:p>
    <w:p w:rsidR="00357368" w:rsidRDefault="00357368" w:rsidP="00357368">
      <w:pPr>
        <w:spacing w:after="0" w:line="240" w:lineRule="auto"/>
        <w:jc w:val="both"/>
        <w:rPr>
          <w:szCs w:val="24"/>
        </w:rPr>
      </w:pPr>
    </w:p>
    <w:p w:rsidR="00357368" w:rsidRPr="00F3445B" w:rsidRDefault="00357368" w:rsidP="00357368">
      <w:pPr>
        <w:spacing w:after="0" w:line="240" w:lineRule="auto"/>
        <w:jc w:val="both"/>
        <w:rPr>
          <w:szCs w:val="24"/>
        </w:rPr>
      </w:pPr>
      <w:r w:rsidRPr="00F3445B">
        <w:rPr>
          <w:szCs w:val="24"/>
        </w:rPr>
        <w:t xml:space="preserve">Failure </w:t>
      </w:r>
      <w:r>
        <w:rPr>
          <w:szCs w:val="24"/>
        </w:rPr>
        <w:t xml:space="preserve">on the part </w:t>
      </w:r>
      <w:r w:rsidRPr="00F3445B">
        <w:rPr>
          <w:szCs w:val="24"/>
        </w:rPr>
        <w:t xml:space="preserve">of a debtor to pay the amount due could lead to a </w:t>
      </w:r>
      <w:r>
        <w:rPr>
          <w:szCs w:val="24"/>
        </w:rPr>
        <w:t>‘</w:t>
      </w:r>
      <w:proofErr w:type="spellStart"/>
      <w:r w:rsidRPr="00F3445B">
        <w:rPr>
          <w:szCs w:val="24"/>
        </w:rPr>
        <w:t>Contrainte</w:t>
      </w:r>
      <w:proofErr w:type="spellEnd"/>
      <w:r>
        <w:rPr>
          <w:szCs w:val="24"/>
        </w:rPr>
        <w:t>’,</w:t>
      </w:r>
      <w:r w:rsidRPr="00F3445B">
        <w:rPr>
          <w:szCs w:val="24"/>
        </w:rPr>
        <w:t xml:space="preserve"> which is a formal legal action </w:t>
      </w:r>
      <w:r>
        <w:rPr>
          <w:szCs w:val="24"/>
        </w:rPr>
        <w:t>used by the RGD as</w:t>
      </w:r>
      <w:r w:rsidRPr="00F3445B">
        <w:rPr>
          <w:szCs w:val="24"/>
        </w:rPr>
        <w:t xml:space="preserve"> a last resort for the recovery</w:t>
      </w:r>
      <w:r>
        <w:rPr>
          <w:szCs w:val="24"/>
        </w:rPr>
        <w:t xml:space="preserve"> of debts</w:t>
      </w:r>
      <w:r w:rsidRPr="00F3445B">
        <w:rPr>
          <w:szCs w:val="24"/>
        </w:rPr>
        <w:t xml:space="preserve">. The </w:t>
      </w:r>
      <w:r>
        <w:rPr>
          <w:szCs w:val="24"/>
        </w:rPr>
        <w:t>RGD issues</w:t>
      </w:r>
      <w:r w:rsidRPr="00F3445B">
        <w:rPr>
          <w:szCs w:val="24"/>
        </w:rPr>
        <w:t xml:space="preserve"> a </w:t>
      </w:r>
      <w:r>
        <w:rPr>
          <w:szCs w:val="24"/>
        </w:rPr>
        <w:t>‘</w:t>
      </w:r>
      <w:proofErr w:type="spellStart"/>
      <w:r>
        <w:rPr>
          <w:szCs w:val="24"/>
        </w:rPr>
        <w:t>C</w:t>
      </w:r>
      <w:r w:rsidRPr="00F3445B">
        <w:rPr>
          <w:szCs w:val="24"/>
        </w:rPr>
        <w:t>ontrainte</w:t>
      </w:r>
      <w:proofErr w:type="spellEnd"/>
      <w:r>
        <w:rPr>
          <w:szCs w:val="24"/>
        </w:rPr>
        <w:t xml:space="preserve">’ </w:t>
      </w:r>
      <w:r w:rsidRPr="00F3445B">
        <w:rPr>
          <w:szCs w:val="24"/>
        </w:rPr>
        <w:t xml:space="preserve">by first sending same to the </w:t>
      </w:r>
      <w:r>
        <w:rPr>
          <w:szCs w:val="24"/>
        </w:rPr>
        <w:t>Attorney General’s O</w:t>
      </w:r>
      <w:r w:rsidRPr="00F3445B">
        <w:rPr>
          <w:szCs w:val="24"/>
        </w:rPr>
        <w:t xml:space="preserve">ffice </w:t>
      </w:r>
      <w:r>
        <w:rPr>
          <w:szCs w:val="24"/>
        </w:rPr>
        <w:t xml:space="preserve">(AGO) </w:t>
      </w:r>
      <w:r w:rsidRPr="00F3445B">
        <w:rPr>
          <w:szCs w:val="24"/>
        </w:rPr>
        <w:t xml:space="preserve">for vetting. A Judge Order follows to justify the </w:t>
      </w:r>
      <w:r>
        <w:rPr>
          <w:szCs w:val="24"/>
        </w:rPr>
        <w:t>‘</w:t>
      </w:r>
      <w:proofErr w:type="spellStart"/>
      <w:r>
        <w:rPr>
          <w:szCs w:val="24"/>
        </w:rPr>
        <w:t>C</w:t>
      </w:r>
      <w:r w:rsidRPr="00F3445B">
        <w:rPr>
          <w:szCs w:val="24"/>
        </w:rPr>
        <w:t>ontrainte</w:t>
      </w:r>
      <w:proofErr w:type="spellEnd"/>
      <w:r>
        <w:rPr>
          <w:szCs w:val="24"/>
        </w:rPr>
        <w:t>’</w:t>
      </w:r>
      <w:r w:rsidRPr="00F3445B">
        <w:rPr>
          <w:szCs w:val="24"/>
        </w:rPr>
        <w:t xml:space="preserve"> which orders the debtor, through an </w:t>
      </w:r>
      <w:r>
        <w:rPr>
          <w:szCs w:val="24"/>
        </w:rPr>
        <w:t>U</w:t>
      </w:r>
      <w:r w:rsidRPr="00F3445B">
        <w:rPr>
          <w:szCs w:val="24"/>
        </w:rPr>
        <w:t>sher’s service, to pay the amount owed to the R</w:t>
      </w:r>
      <w:r>
        <w:rPr>
          <w:szCs w:val="24"/>
        </w:rPr>
        <w:t>GD.</w:t>
      </w:r>
    </w:p>
    <w:p w:rsidR="00357368" w:rsidRDefault="00357368" w:rsidP="00357368">
      <w:pPr>
        <w:spacing w:after="0" w:line="240" w:lineRule="auto"/>
        <w:jc w:val="both"/>
        <w:rPr>
          <w:szCs w:val="24"/>
        </w:rPr>
      </w:pPr>
    </w:p>
    <w:p w:rsidR="00357368" w:rsidRDefault="00357368" w:rsidP="00357368">
      <w:pPr>
        <w:spacing w:after="0" w:line="240" w:lineRule="auto"/>
        <w:jc w:val="both"/>
        <w:rPr>
          <w:szCs w:val="24"/>
        </w:rPr>
      </w:pPr>
      <w:r w:rsidRPr="00F3445B">
        <w:rPr>
          <w:szCs w:val="24"/>
        </w:rPr>
        <w:t>A Judge</w:t>
      </w:r>
      <w:r>
        <w:rPr>
          <w:szCs w:val="24"/>
        </w:rPr>
        <w:t>’s</w:t>
      </w:r>
      <w:r w:rsidRPr="00F3445B">
        <w:rPr>
          <w:szCs w:val="24"/>
        </w:rPr>
        <w:t xml:space="preserve"> Order permits the seizure of a movable or immovable property and its sale, if a person does not comply with the </w:t>
      </w:r>
      <w:r>
        <w:rPr>
          <w:szCs w:val="24"/>
        </w:rPr>
        <w:t>U</w:t>
      </w:r>
      <w:r w:rsidRPr="00F3445B">
        <w:rPr>
          <w:szCs w:val="24"/>
        </w:rPr>
        <w:t xml:space="preserve">sher’s service or does not appeal against it within </w:t>
      </w:r>
      <w:r w:rsidR="00D54927">
        <w:rPr>
          <w:szCs w:val="24"/>
        </w:rPr>
        <w:br/>
      </w:r>
      <w:r>
        <w:rPr>
          <w:szCs w:val="24"/>
        </w:rPr>
        <w:t>10</w:t>
      </w:r>
      <w:r w:rsidRPr="00F3445B">
        <w:rPr>
          <w:szCs w:val="24"/>
        </w:rPr>
        <w:t xml:space="preserve"> days.</w:t>
      </w:r>
    </w:p>
    <w:p w:rsidR="00357368" w:rsidRPr="00F3445B" w:rsidRDefault="00357368" w:rsidP="00357368">
      <w:pPr>
        <w:spacing w:after="0" w:line="240" w:lineRule="auto"/>
        <w:jc w:val="both"/>
        <w:rPr>
          <w:szCs w:val="24"/>
        </w:rPr>
      </w:pPr>
    </w:p>
    <w:p w:rsidR="00357368" w:rsidRDefault="00357368" w:rsidP="00357368">
      <w:pPr>
        <w:spacing w:after="0" w:line="240" w:lineRule="auto"/>
        <w:jc w:val="both"/>
        <w:rPr>
          <w:b/>
          <w:i/>
          <w:szCs w:val="24"/>
        </w:rPr>
      </w:pPr>
      <w:r w:rsidRPr="00F3445B">
        <w:rPr>
          <w:b/>
          <w:i/>
          <w:szCs w:val="24"/>
        </w:rPr>
        <w:t>Observations</w:t>
      </w:r>
    </w:p>
    <w:p w:rsidR="00357368" w:rsidRPr="00F3445B" w:rsidRDefault="00357368" w:rsidP="00357368">
      <w:pPr>
        <w:spacing w:after="0" w:line="240" w:lineRule="auto"/>
        <w:jc w:val="both"/>
        <w:rPr>
          <w:b/>
          <w:i/>
          <w:szCs w:val="24"/>
        </w:rPr>
      </w:pPr>
    </w:p>
    <w:p w:rsidR="00357368" w:rsidRPr="00F3445B" w:rsidRDefault="00357368" w:rsidP="00B628CB">
      <w:pPr>
        <w:pStyle w:val="ListParagraph"/>
        <w:numPr>
          <w:ilvl w:val="0"/>
          <w:numId w:val="15"/>
        </w:numPr>
        <w:spacing w:after="0" w:line="240" w:lineRule="auto"/>
        <w:ind w:left="360"/>
        <w:jc w:val="both"/>
        <w:rPr>
          <w:szCs w:val="24"/>
        </w:rPr>
      </w:pPr>
      <w:r w:rsidRPr="00E479BD">
        <w:rPr>
          <w:szCs w:val="24"/>
        </w:rPr>
        <w:t xml:space="preserve">The </w:t>
      </w:r>
      <w:r>
        <w:rPr>
          <w:szCs w:val="24"/>
        </w:rPr>
        <w:t>RGD</w:t>
      </w:r>
      <w:r w:rsidRPr="00E479BD">
        <w:rPr>
          <w:szCs w:val="24"/>
        </w:rPr>
        <w:t xml:space="preserve"> </w:t>
      </w:r>
      <w:r w:rsidRPr="005D3317">
        <w:rPr>
          <w:szCs w:val="24"/>
        </w:rPr>
        <w:t>processed</w:t>
      </w:r>
      <w:r w:rsidRPr="00E479BD">
        <w:rPr>
          <w:szCs w:val="24"/>
        </w:rPr>
        <w:t xml:space="preserve"> 1</w:t>
      </w:r>
      <w:r w:rsidR="00CD425E">
        <w:rPr>
          <w:szCs w:val="24"/>
        </w:rPr>
        <w:t>,</w:t>
      </w:r>
      <w:r w:rsidRPr="00E479BD">
        <w:rPr>
          <w:szCs w:val="24"/>
        </w:rPr>
        <w:t xml:space="preserve">001 </w:t>
      </w:r>
      <w:r>
        <w:rPr>
          <w:szCs w:val="24"/>
        </w:rPr>
        <w:t>‘</w:t>
      </w:r>
      <w:proofErr w:type="spellStart"/>
      <w:r w:rsidRPr="00E479BD">
        <w:rPr>
          <w:szCs w:val="24"/>
        </w:rPr>
        <w:t>Contrainte</w:t>
      </w:r>
      <w:proofErr w:type="spellEnd"/>
      <w:r>
        <w:rPr>
          <w:szCs w:val="24"/>
        </w:rPr>
        <w:t>’ involving debts for an amount of</w:t>
      </w:r>
      <w:r w:rsidRPr="00E479BD">
        <w:rPr>
          <w:szCs w:val="24"/>
        </w:rPr>
        <w:t xml:space="preserve"> </w:t>
      </w:r>
      <w:r w:rsidR="00D54927">
        <w:rPr>
          <w:szCs w:val="24"/>
        </w:rPr>
        <w:br/>
      </w:r>
      <w:r w:rsidRPr="00E479BD">
        <w:rPr>
          <w:szCs w:val="24"/>
        </w:rPr>
        <w:t>Rs 92.7 million during the period October 2013 to June 2017</w:t>
      </w:r>
      <w:r>
        <w:rPr>
          <w:szCs w:val="24"/>
        </w:rPr>
        <w:t xml:space="preserve">, excluding </w:t>
      </w:r>
      <w:r w:rsidRPr="00F3445B">
        <w:rPr>
          <w:szCs w:val="24"/>
        </w:rPr>
        <w:t xml:space="preserve">603 </w:t>
      </w:r>
      <w:r>
        <w:rPr>
          <w:szCs w:val="24"/>
        </w:rPr>
        <w:t xml:space="preserve">other </w:t>
      </w:r>
      <w:r w:rsidRPr="00F3445B">
        <w:rPr>
          <w:szCs w:val="24"/>
        </w:rPr>
        <w:t>‘</w:t>
      </w:r>
      <w:proofErr w:type="spellStart"/>
      <w:r w:rsidRPr="00F3445B">
        <w:rPr>
          <w:szCs w:val="24"/>
        </w:rPr>
        <w:t>Contrainte</w:t>
      </w:r>
      <w:proofErr w:type="spellEnd"/>
      <w:r w:rsidRPr="00F3445B">
        <w:rPr>
          <w:szCs w:val="24"/>
        </w:rPr>
        <w:t xml:space="preserve">’ </w:t>
      </w:r>
      <w:r>
        <w:rPr>
          <w:szCs w:val="24"/>
        </w:rPr>
        <w:t>p</w:t>
      </w:r>
      <w:r w:rsidRPr="00F3445B">
        <w:rPr>
          <w:szCs w:val="24"/>
        </w:rPr>
        <w:t>rior to October 2013</w:t>
      </w:r>
      <w:r>
        <w:rPr>
          <w:szCs w:val="24"/>
        </w:rPr>
        <w:t xml:space="preserve"> for which </w:t>
      </w:r>
      <w:r w:rsidRPr="00F3445B">
        <w:rPr>
          <w:szCs w:val="24"/>
        </w:rPr>
        <w:t>the monetary values</w:t>
      </w:r>
      <w:r>
        <w:rPr>
          <w:szCs w:val="24"/>
        </w:rPr>
        <w:t xml:space="preserve"> were not known;</w:t>
      </w:r>
    </w:p>
    <w:p w:rsidR="00357368" w:rsidRPr="00380D60" w:rsidRDefault="00357368" w:rsidP="00357368">
      <w:pPr>
        <w:pStyle w:val="ListParagraph"/>
        <w:spacing w:after="0" w:line="240" w:lineRule="auto"/>
        <w:ind w:left="360"/>
        <w:jc w:val="both"/>
        <w:rPr>
          <w:i/>
          <w:szCs w:val="24"/>
        </w:rPr>
      </w:pPr>
    </w:p>
    <w:p w:rsidR="00357368" w:rsidRPr="00CE5EF5" w:rsidRDefault="00357368" w:rsidP="00B628CB">
      <w:pPr>
        <w:pStyle w:val="ListParagraph"/>
        <w:numPr>
          <w:ilvl w:val="0"/>
          <w:numId w:val="15"/>
        </w:numPr>
        <w:spacing w:after="0" w:line="240" w:lineRule="auto"/>
        <w:ind w:left="360"/>
        <w:jc w:val="both"/>
        <w:rPr>
          <w:i/>
          <w:szCs w:val="24"/>
        </w:rPr>
      </w:pPr>
      <w:r w:rsidRPr="00E479BD">
        <w:rPr>
          <w:szCs w:val="24"/>
        </w:rPr>
        <w:t>As at 30 June 2017, 187 cases wer</w:t>
      </w:r>
      <w:r>
        <w:rPr>
          <w:szCs w:val="24"/>
        </w:rPr>
        <w:t>e settled and Rs 29.5 million have</w:t>
      </w:r>
      <w:r w:rsidRPr="00E479BD">
        <w:rPr>
          <w:szCs w:val="24"/>
        </w:rPr>
        <w:t xml:space="preserve"> been collected</w:t>
      </w:r>
      <w:r>
        <w:rPr>
          <w:szCs w:val="24"/>
        </w:rPr>
        <w:t xml:space="preserve">. 22 cases </w:t>
      </w:r>
      <w:proofErr w:type="spellStart"/>
      <w:r>
        <w:rPr>
          <w:szCs w:val="24"/>
        </w:rPr>
        <w:t>totalli</w:t>
      </w:r>
      <w:r w:rsidR="00CD425E">
        <w:rPr>
          <w:szCs w:val="24"/>
        </w:rPr>
        <w:t>ng</w:t>
      </w:r>
      <w:proofErr w:type="spellEnd"/>
      <w:r w:rsidR="00CD425E">
        <w:rPr>
          <w:szCs w:val="24"/>
        </w:rPr>
        <w:t xml:space="preserve"> Rs 1.7 million had lapsed</w:t>
      </w:r>
      <w:r>
        <w:rPr>
          <w:szCs w:val="24"/>
        </w:rPr>
        <w:t xml:space="preserve"> due to passing away of debtors. The remaining 792 cases amounting to Rs 79.2 million were not yet finalised as at 30 June 2017;</w:t>
      </w:r>
    </w:p>
    <w:p w:rsidR="00357368" w:rsidRPr="002E2AAD" w:rsidRDefault="00357368" w:rsidP="00357368">
      <w:pPr>
        <w:pStyle w:val="ListParagraph"/>
        <w:spacing w:after="0" w:line="240" w:lineRule="auto"/>
        <w:ind w:left="360"/>
        <w:jc w:val="both"/>
        <w:rPr>
          <w:i/>
          <w:szCs w:val="24"/>
        </w:rPr>
      </w:pPr>
    </w:p>
    <w:p w:rsidR="00357368" w:rsidRPr="002E2AAD" w:rsidRDefault="00357368" w:rsidP="00B628CB">
      <w:pPr>
        <w:pStyle w:val="ListParagraph"/>
        <w:numPr>
          <w:ilvl w:val="0"/>
          <w:numId w:val="15"/>
        </w:numPr>
        <w:spacing w:after="0" w:line="240" w:lineRule="auto"/>
        <w:ind w:left="360"/>
        <w:jc w:val="both"/>
        <w:rPr>
          <w:i/>
          <w:szCs w:val="24"/>
        </w:rPr>
      </w:pPr>
      <w:r>
        <w:rPr>
          <w:szCs w:val="24"/>
        </w:rPr>
        <w:lastRenderedPageBreak/>
        <w:t xml:space="preserve">Out of the above 792 outstanding </w:t>
      </w:r>
      <w:r w:rsidRPr="002E2AAD">
        <w:rPr>
          <w:szCs w:val="24"/>
        </w:rPr>
        <w:t>cases</w:t>
      </w:r>
      <w:r>
        <w:rPr>
          <w:szCs w:val="24"/>
        </w:rPr>
        <w:t>,</w:t>
      </w:r>
      <w:r w:rsidRPr="002E2AAD">
        <w:rPr>
          <w:szCs w:val="24"/>
        </w:rPr>
        <w:t xml:space="preserve"> Judge’s Orders were still being awaited for 396 cases involving Rs 41 million</w:t>
      </w:r>
      <w:r>
        <w:rPr>
          <w:szCs w:val="24"/>
        </w:rPr>
        <w:t xml:space="preserve"> of which </w:t>
      </w:r>
      <w:r w:rsidRPr="002E2AAD">
        <w:rPr>
          <w:szCs w:val="24"/>
        </w:rPr>
        <w:t xml:space="preserve">233 cases </w:t>
      </w:r>
      <w:r>
        <w:rPr>
          <w:szCs w:val="24"/>
        </w:rPr>
        <w:t xml:space="preserve">were </w:t>
      </w:r>
      <w:r w:rsidRPr="002E2AAD">
        <w:rPr>
          <w:szCs w:val="24"/>
        </w:rPr>
        <w:t>for over three years</w:t>
      </w:r>
      <w:r>
        <w:rPr>
          <w:szCs w:val="24"/>
        </w:rPr>
        <w:t>;</w:t>
      </w:r>
    </w:p>
    <w:p w:rsidR="00357368" w:rsidRPr="002E2AAD" w:rsidRDefault="00357368" w:rsidP="00357368">
      <w:pPr>
        <w:pStyle w:val="ListParagraph"/>
        <w:spacing w:after="0" w:line="240" w:lineRule="auto"/>
        <w:ind w:left="360"/>
        <w:jc w:val="both"/>
        <w:rPr>
          <w:i/>
          <w:szCs w:val="24"/>
        </w:rPr>
      </w:pPr>
    </w:p>
    <w:p w:rsidR="00357368" w:rsidRPr="004B5A73" w:rsidRDefault="00357368" w:rsidP="00B628CB">
      <w:pPr>
        <w:pStyle w:val="ListParagraph"/>
        <w:numPr>
          <w:ilvl w:val="0"/>
          <w:numId w:val="15"/>
        </w:numPr>
        <w:spacing w:after="0" w:line="240" w:lineRule="auto"/>
        <w:ind w:left="360"/>
        <w:jc w:val="both"/>
        <w:rPr>
          <w:rFonts w:eastAsia="Times New Roman"/>
          <w:b/>
          <w:bCs/>
          <w:szCs w:val="24"/>
        </w:rPr>
      </w:pPr>
      <w:r w:rsidRPr="004B5A73">
        <w:rPr>
          <w:szCs w:val="24"/>
        </w:rPr>
        <w:t xml:space="preserve">Judge’s Orders were received in 505 cases </w:t>
      </w:r>
      <w:proofErr w:type="spellStart"/>
      <w:r w:rsidRPr="004B5A73">
        <w:rPr>
          <w:szCs w:val="24"/>
        </w:rPr>
        <w:t>total</w:t>
      </w:r>
      <w:r>
        <w:rPr>
          <w:szCs w:val="24"/>
        </w:rPr>
        <w:t>l</w:t>
      </w:r>
      <w:r w:rsidRPr="004B5A73">
        <w:rPr>
          <w:szCs w:val="24"/>
        </w:rPr>
        <w:t>ing</w:t>
      </w:r>
      <w:proofErr w:type="spellEnd"/>
      <w:r w:rsidRPr="004B5A73">
        <w:rPr>
          <w:szCs w:val="24"/>
        </w:rPr>
        <w:t xml:space="preserve"> Rs 46.8 million. </w:t>
      </w:r>
      <w:r>
        <w:rPr>
          <w:szCs w:val="24"/>
        </w:rPr>
        <w:t>U</w:t>
      </w:r>
      <w:r w:rsidRPr="00F3445B">
        <w:rPr>
          <w:szCs w:val="24"/>
        </w:rPr>
        <w:t>sher’s service</w:t>
      </w:r>
      <w:r w:rsidRPr="004B5A73">
        <w:rPr>
          <w:szCs w:val="24"/>
        </w:rPr>
        <w:t xml:space="preserve"> was </w:t>
      </w:r>
      <w:r>
        <w:rPr>
          <w:szCs w:val="24"/>
        </w:rPr>
        <w:t xml:space="preserve">yet to be </w:t>
      </w:r>
      <w:r w:rsidRPr="004B5A73">
        <w:rPr>
          <w:szCs w:val="24"/>
        </w:rPr>
        <w:t xml:space="preserve">effected for 225 cases </w:t>
      </w:r>
      <w:proofErr w:type="spellStart"/>
      <w:r w:rsidRPr="004B5A73">
        <w:rPr>
          <w:szCs w:val="24"/>
        </w:rPr>
        <w:t>tota</w:t>
      </w:r>
      <w:r w:rsidR="00E26960">
        <w:rPr>
          <w:szCs w:val="24"/>
        </w:rPr>
        <w:t>l</w:t>
      </w:r>
      <w:r w:rsidRPr="004B5A73">
        <w:rPr>
          <w:szCs w:val="24"/>
        </w:rPr>
        <w:t>ling</w:t>
      </w:r>
      <w:proofErr w:type="spellEnd"/>
      <w:r w:rsidRPr="004B5A73">
        <w:rPr>
          <w:szCs w:val="24"/>
        </w:rPr>
        <w:t xml:space="preserve"> Rs 25.7 million. </w:t>
      </w:r>
    </w:p>
    <w:p w:rsidR="00357368" w:rsidRPr="00067FDF" w:rsidRDefault="00357368" w:rsidP="00067FDF">
      <w:pPr>
        <w:spacing w:after="0" w:line="240" w:lineRule="auto"/>
        <w:rPr>
          <w:rFonts w:eastAsia="Times New Roman"/>
          <w:b/>
          <w:bCs/>
          <w:szCs w:val="24"/>
        </w:rPr>
      </w:pPr>
    </w:p>
    <w:p w:rsidR="00357368" w:rsidRPr="00037804" w:rsidRDefault="00357368" w:rsidP="00357368">
      <w:pPr>
        <w:autoSpaceDE w:val="0"/>
        <w:autoSpaceDN w:val="0"/>
        <w:adjustRightInd w:val="0"/>
        <w:spacing w:after="0" w:line="240" w:lineRule="auto"/>
        <w:jc w:val="both"/>
        <w:rPr>
          <w:b/>
          <w:i/>
          <w:szCs w:val="24"/>
        </w:rPr>
      </w:pPr>
      <w:r w:rsidRPr="00037804">
        <w:rPr>
          <w:b/>
          <w:i/>
          <w:szCs w:val="24"/>
        </w:rPr>
        <w:t>Conclusion and recommendation</w:t>
      </w:r>
    </w:p>
    <w:p w:rsidR="00357368" w:rsidRDefault="00357368" w:rsidP="00357368">
      <w:pPr>
        <w:spacing w:after="0" w:line="240" w:lineRule="auto"/>
        <w:jc w:val="both"/>
        <w:rPr>
          <w:szCs w:val="24"/>
        </w:rPr>
      </w:pPr>
    </w:p>
    <w:p w:rsidR="00357368" w:rsidRPr="00F3445B" w:rsidRDefault="00357368" w:rsidP="00357368">
      <w:pPr>
        <w:spacing w:after="0" w:line="240" w:lineRule="auto"/>
        <w:jc w:val="both"/>
        <w:rPr>
          <w:szCs w:val="24"/>
        </w:rPr>
      </w:pPr>
      <w:r w:rsidRPr="00F3445B">
        <w:rPr>
          <w:szCs w:val="24"/>
        </w:rPr>
        <w:t xml:space="preserve">Recovery of arrears and </w:t>
      </w:r>
      <w:proofErr w:type="spellStart"/>
      <w:r w:rsidRPr="00F3445B">
        <w:rPr>
          <w:szCs w:val="24"/>
        </w:rPr>
        <w:t>finali</w:t>
      </w:r>
      <w:r>
        <w:rPr>
          <w:szCs w:val="24"/>
        </w:rPr>
        <w:t>s</w:t>
      </w:r>
      <w:r w:rsidRPr="00F3445B">
        <w:rPr>
          <w:szCs w:val="24"/>
        </w:rPr>
        <w:t>ing</w:t>
      </w:r>
      <w:proofErr w:type="spellEnd"/>
      <w:r w:rsidRPr="00F3445B">
        <w:rPr>
          <w:szCs w:val="24"/>
        </w:rPr>
        <w:t xml:space="preserve"> of objection cases are not being given much </w:t>
      </w:r>
      <w:r>
        <w:rPr>
          <w:szCs w:val="24"/>
        </w:rPr>
        <w:t>consideration</w:t>
      </w:r>
      <w:r w:rsidRPr="00F3445B">
        <w:rPr>
          <w:szCs w:val="24"/>
        </w:rPr>
        <w:t xml:space="preserve"> despite the significance of arrears involved. </w:t>
      </w:r>
    </w:p>
    <w:p w:rsidR="00357368" w:rsidRDefault="00357368" w:rsidP="00357368">
      <w:pPr>
        <w:spacing w:after="0" w:line="240" w:lineRule="auto"/>
        <w:jc w:val="both"/>
        <w:rPr>
          <w:szCs w:val="24"/>
        </w:rPr>
      </w:pPr>
    </w:p>
    <w:p w:rsidR="00357368" w:rsidRPr="00F3445B" w:rsidRDefault="00CD425E" w:rsidP="00357368">
      <w:pPr>
        <w:spacing w:after="0" w:line="240" w:lineRule="auto"/>
        <w:jc w:val="both"/>
        <w:rPr>
          <w:szCs w:val="24"/>
        </w:rPr>
      </w:pPr>
      <w:r>
        <w:rPr>
          <w:szCs w:val="24"/>
        </w:rPr>
        <w:t>As mentioned in the</w:t>
      </w:r>
      <w:r w:rsidR="00357368">
        <w:rPr>
          <w:szCs w:val="24"/>
        </w:rPr>
        <w:t xml:space="preserve"> Audit Report for the 18-month</w:t>
      </w:r>
      <w:r w:rsidR="00357368" w:rsidRPr="00F3445B">
        <w:rPr>
          <w:szCs w:val="24"/>
        </w:rPr>
        <w:t xml:space="preserve"> </w:t>
      </w:r>
      <w:r w:rsidR="00357368">
        <w:rPr>
          <w:szCs w:val="24"/>
        </w:rPr>
        <w:t>period 1 January 2015 to 30 June 2016,</w:t>
      </w:r>
      <w:r w:rsidR="00D67A2B">
        <w:rPr>
          <w:szCs w:val="24"/>
        </w:rPr>
        <w:t xml:space="preserve"> </w:t>
      </w:r>
      <w:r w:rsidR="00357368" w:rsidRPr="00F3445B">
        <w:rPr>
          <w:szCs w:val="24"/>
        </w:rPr>
        <w:t>the establishment of a Valuation Roll</w:t>
      </w:r>
      <w:r w:rsidR="00357368">
        <w:rPr>
          <w:szCs w:val="24"/>
        </w:rPr>
        <w:t xml:space="preserve"> will be a good solution for the RGD to manage its revenue. For instance, </w:t>
      </w:r>
      <w:r w:rsidR="00357368" w:rsidRPr="00F3445B">
        <w:rPr>
          <w:szCs w:val="24"/>
        </w:rPr>
        <w:t>the value of immovable property will be available prior to registration</w:t>
      </w:r>
      <w:r w:rsidR="00357368">
        <w:rPr>
          <w:szCs w:val="24"/>
        </w:rPr>
        <w:t xml:space="preserve"> of the deed document. The lengthy procedures of re-assessment, inscription, determination of cases under objection and debtors’ management will be significantly eliminated</w:t>
      </w:r>
      <w:r w:rsidR="00357368" w:rsidRPr="00F3445B">
        <w:rPr>
          <w:szCs w:val="24"/>
        </w:rPr>
        <w:t xml:space="preserve">. Besides, avoiding the risk of loss of revenue and collecting the right amount of tax or duty at time of registration, this would </w:t>
      </w:r>
      <w:r w:rsidR="00357368" w:rsidRPr="00943E5C">
        <w:rPr>
          <w:szCs w:val="24"/>
        </w:rPr>
        <w:t>also save public funds and</w:t>
      </w:r>
      <w:r w:rsidR="00357368" w:rsidRPr="00F3445B">
        <w:rPr>
          <w:szCs w:val="24"/>
        </w:rPr>
        <w:t xml:space="preserve"> time in dealing with re</w:t>
      </w:r>
      <w:r w:rsidR="00357368">
        <w:rPr>
          <w:szCs w:val="24"/>
        </w:rPr>
        <w:t>-</w:t>
      </w:r>
      <w:r w:rsidR="00357368" w:rsidRPr="00F3445B">
        <w:rPr>
          <w:szCs w:val="24"/>
        </w:rPr>
        <w:t>assessment cases.</w:t>
      </w:r>
    </w:p>
    <w:p w:rsidR="00357368" w:rsidRDefault="00357368" w:rsidP="00357368">
      <w:pPr>
        <w:spacing w:after="0" w:line="240" w:lineRule="auto"/>
        <w:jc w:val="both"/>
        <w:rPr>
          <w:b/>
          <w:i/>
          <w:szCs w:val="24"/>
        </w:rPr>
      </w:pPr>
    </w:p>
    <w:p w:rsidR="00357368" w:rsidRDefault="00357368" w:rsidP="00357368">
      <w:pPr>
        <w:spacing w:after="0" w:line="240" w:lineRule="auto"/>
        <w:jc w:val="both"/>
        <w:rPr>
          <w:b/>
          <w:i/>
          <w:szCs w:val="24"/>
        </w:rPr>
      </w:pPr>
      <w:r w:rsidRPr="00174832">
        <w:rPr>
          <w:b/>
          <w:i/>
          <w:szCs w:val="24"/>
        </w:rPr>
        <w:t>Department’s Reply</w:t>
      </w:r>
    </w:p>
    <w:p w:rsidR="00642EA1" w:rsidRDefault="00642EA1" w:rsidP="00642EA1">
      <w:pPr>
        <w:spacing w:after="0" w:line="240" w:lineRule="auto"/>
        <w:jc w:val="both"/>
        <w:rPr>
          <w:rFonts w:eastAsiaTheme="minorHAnsi"/>
          <w:szCs w:val="24"/>
        </w:rPr>
      </w:pPr>
    </w:p>
    <w:p w:rsidR="00642EA1" w:rsidRPr="00642EA1" w:rsidRDefault="00642EA1" w:rsidP="00642EA1">
      <w:pPr>
        <w:spacing w:after="0" w:line="240" w:lineRule="auto"/>
        <w:jc w:val="both"/>
        <w:rPr>
          <w:rFonts w:eastAsiaTheme="minorHAnsi"/>
          <w:szCs w:val="24"/>
        </w:rPr>
      </w:pPr>
      <w:r w:rsidRPr="00642EA1">
        <w:rPr>
          <w:rFonts w:eastAsiaTheme="minorHAnsi"/>
          <w:szCs w:val="24"/>
        </w:rPr>
        <w:t>This Office strongly concurs with the proposal for the establishment of a Valuation Roll and appreciates your valuable suggestion.</w:t>
      </w:r>
    </w:p>
    <w:p w:rsidR="00642EA1" w:rsidRPr="00642EA1" w:rsidRDefault="00642EA1" w:rsidP="00642EA1">
      <w:pPr>
        <w:spacing w:after="0" w:line="240" w:lineRule="auto"/>
        <w:contextualSpacing/>
        <w:jc w:val="both"/>
        <w:rPr>
          <w:rFonts w:eastAsiaTheme="minorHAnsi"/>
          <w:b/>
          <w:szCs w:val="24"/>
        </w:rPr>
      </w:pPr>
    </w:p>
    <w:p w:rsidR="00642EA1" w:rsidRPr="00CD425E" w:rsidRDefault="00642EA1" w:rsidP="00642EA1">
      <w:pPr>
        <w:spacing w:after="0" w:line="240" w:lineRule="auto"/>
        <w:contextualSpacing/>
        <w:jc w:val="both"/>
        <w:rPr>
          <w:rFonts w:eastAsiaTheme="minorHAnsi"/>
          <w:i/>
          <w:szCs w:val="24"/>
        </w:rPr>
      </w:pPr>
      <w:r w:rsidRPr="00CD425E">
        <w:rPr>
          <w:rFonts w:eastAsiaTheme="minorHAnsi"/>
          <w:i/>
          <w:szCs w:val="24"/>
        </w:rPr>
        <w:t>Arrears of Revenue</w:t>
      </w:r>
    </w:p>
    <w:p w:rsidR="00642EA1" w:rsidRPr="00642EA1" w:rsidRDefault="00642EA1" w:rsidP="00642EA1">
      <w:pPr>
        <w:spacing w:after="0" w:line="240" w:lineRule="auto"/>
        <w:ind w:left="720"/>
        <w:contextualSpacing/>
        <w:jc w:val="both"/>
        <w:rPr>
          <w:rFonts w:eastAsiaTheme="minorHAnsi"/>
          <w:szCs w:val="24"/>
        </w:rPr>
      </w:pPr>
    </w:p>
    <w:p w:rsidR="00642EA1" w:rsidRPr="00642EA1" w:rsidRDefault="00642EA1" w:rsidP="00B628CB">
      <w:pPr>
        <w:numPr>
          <w:ilvl w:val="0"/>
          <w:numId w:val="25"/>
        </w:numPr>
        <w:spacing w:after="0" w:line="240" w:lineRule="auto"/>
        <w:contextualSpacing/>
        <w:jc w:val="both"/>
        <w:rPr>
          <w:rFonts w:eastAsiaTheme="minorHAnsi"/>
          <w:szCs w:val="24"/>
        </w:rPr>
      </w:pPr>
      <w:r w:rsidRPr="00642EA1">
        <w:rPr>
          <w:rFonts w:eastAsiaTheme="minorHAnsi"/>
          <w:szCs w:val="24"/>
        </w:rPr>
        <w:t xml:space="preserve">It is proposed to create a Recovery Unit to be headed by an in-house Attorney-at-Law. This will speed up legal action for recovery; </w:t>
      </w:r>
    </w:p>
    <w:p w:rsidR="00642EA1" w:rsidRPr="00642EA1" w:rsidRDefault="00642EA1" w:rsidP="00642EA1">
      <w:pPr>
        <w:spacing w:after="0" w:line="240" w:lineRule="auto"/>
        <w:ind w:left="720"/>
        <w:contextualSpacing/>
        <w:jc w:val="both"/>
        <w:rPr>
          <w:rFonts w:eastAsiaTheme="minorHAnsi"/>
          <w:szCs w:val="24"/>
        </w:rPr>
      </w:pPr>
    </w:p>
    <w:p w:rsidR="00642EA1" w:rsidRPr="00642EA1" w:rsidRDefault="00642EA1" w:rsidP="00B628CB">
      <w:pPr>
        <w:numPr>
          <w:ilvl w:val="0"/>
          <w:numId w:val="25"/>
        </w:numPr>
        <w:spacing w:after="0" w:line="240" w:lineRule="auto"/>
        <w:contextualSpacing/>
        <w:jc w:val="both"/>
        <w:rPr>
          <w:rFonts w:eastAsiaTheme="minorHAnsi"/>
          <w:szCs w:val="24"/>
        </w:rPr>
      </w:pPr>
      <w:r w:rsidRPr="00642EA1">
        <w:rPr>
          <w:rFonts w:eastAsiaTheme="minorHAnsi"/>
          <w:szCs w:val="24"/>
        </w:rPr>
        <w:t xml:space="preserve">In an effort to recoup all arrears of revenue, Government has come forward with an Arrears Payment Scheme where, as incentive, the penalty is waived if payment is effected before an appointed date; </w:t>
      </w:r>
    </w:p>
    <w:p w:rsidR="00642EA1" w:rsidRPr="00642EA1" w:rsidRDefault="00642EA1" w:rsidP="00642EA1">
      <w:pPr>
        <w:spacing w:after="0" w:line="240" w:lineRule="auto"/>
        <w:ind w:left="720"/>
        <w:contextualSpacing/>
        <w:jc w:val="both"/>
        <w:rPr>
          <w:rFonts w:eastAsiaTheme="minorHAnsi"/>
          <w:szCs w:val="24"/>
        </w:rPr>
      </w:pPr>
    </w:p>
    <w:p w:rsidR="00642EA1" w:rsidRPr="00642EA1" w:rsidRDefault="00642EA1" w:rsidP="00B628CB">
      <w:pPr>
        <w:numPr>
          <w:ilvl w:val="0"/>
          <w:numId w:val="25"/>
        </w:numPr>
        <w:spacing w:after="0" w:line="240" w:lineRule="auto"/>
        <w:contextualSpacing/>
        <w:jc w:val="both"/>
        <w:rPr>
          <w:rFonts w:eastAsiaTheme="minorHAnsi"/>
          <w:szCs w:val="24"/>
        </w:rPr>
      </w:pPr>
      <w:r w:rsidRPr="00642EA1">
        <w:rPr>
          <w:rFonts w:eastAsiaTheme="minorHAnsi"/>
          <w:szCs w:val="24"/>
        </w:rPr>
        <w:t xml:space="preserve">A request for a list of </w:t>
      </w:r>
      <w:proofErr w:type="spellStart"/>
      <w:r w:rsidRPr="00642EA1">
        <w:rPr>
          <w:rFonts w:eastAsiaTheme="minorHAnsi"/>
          <w:szCs w:val="24"/>
        </w:rPr>
        <w:t>Campement</w:t>
      </w:r>
      <w:proofErr w:type="spellEnd"/>
      <w:r w:rsidRPr="00642EA1">
        <w:rPr>
          <w:rFonts w:eastAsiaTheme="minorHAnsi"/>
          <w:szCs w:val="24"/>
        </w:rPr>
        <w:t xml:space="preserve"> Site owners where lessees have opted for the new lease from Ministry of Housing and Lands has remained unattended up to now. It is proposed to take up the matter at higher level with Ministry of Finance and Economic Development.</w:t>
      </w:r>
    </w:p>
    <w:p w:rsidR="00642EA1" w:rsidRPr="00642EA1" w:rsidRDefault="00642EA1" w:rsidP="00642EA1">
      <w:pPr>
        <w:spacing w:after="0" w:line="240" w:lineRule="auto"/>
        <w:ind w:left="720"/>
        <w:contextualSpacing/>
        <w:jc w:val="both"/>
        <w:rPr>
          <w:rFonts w:eastAsiaTheme="minorHAnsi"/>
          <w:szCs w:val="24"/>
        </w:rPr>
      </w:pPr>
    </w:p>
    <w:p w:rsidR="00642EA1" w:rsidRPr="00CD425E" w:rsidRDefault="00642EA1" w:rsidP="00642EA1">
      <w:pPr>
        <w:spacing w:after="0" w:line="240" w:lineRule="auto"/>
        <w:jc w:val="both"/>
        <w:rPr>
          <w:rFonts w:eastAsiaTheme="minorHAnsi"/>
          <w:i/>
          <w:szCs w:val="24"/>
        </w:rPr>
      </w:pPr>
      <w:r w:rsidRPr="00CD425E">
        <w:rPr>
          <w:rFonts w:eastAsiaTheme="minorHAnsi"/>
          <w:i/>
          <w:szCs w:val="24"/>
        </w:rPr>
        <w:t xml:space="preserve">Objection Unit </w:t>
      </w:r>
    </w:p>
    <w:p w:rsidR="00642EA1" w:rsidRPr="00642EA1" w:rsidRDefault="00642EA1" w:rsidP="00642EA1">
      <w:pPr>
        <w:spacing w:after="0" w:line="240" w:lineRule="auto"/>
        <w:jc w:val="both"/>
        <w:rPr>
          <w:rFonts w:eastAsiaTheme="minorHAnsi"/>
          <w:b/>
          <w:szCs w:val="24"/>
        </w:rPr>
      </w:pPr>
    </w:p>
    <w:p w:rsidR="00642EA1" w:rsidRPr="00642EA1" w:rsidRDefault="00642EA1" w:rsidP="00642EA1">
      <w:pPr>
        <w:spacing w:after="0" w:line="240" w:lineRule="auto"/>
        <w:jc w:val="both"/>
        <w:rPr>
          <w:rFonts w:eastAsiaTheme="minorHAnsi"/>
          <w:szCs w:val="24"/>
        </w:rPr>
      </w:pPr>
      <w:r w:rsidRPr="00642EA1">
        <w:rPr>
          <w:rFonts w:eastAsiaTheme="minorHAnsi"/>
          <w:szCs w:val="24"/>
        </w:rPr>
        <w:t>RGD has no control on the OU. The latter is chaired by a representative of the Valuation Department. It is proposed that the composition of the OU be reviewed and it should be chaired by an independent person knowledgeable in tha</w:t>
      </w:r>
      <w:r w:rsidR="00E26960">
        <w:rPr>
          <w:rFonts w:eastAsiaTheme="minorHAnsi"/>
          <w:szCs w:val="24"/>
        </w:rPr>
        <w:t>t field and two Assessors, one r</w:t>
      </w:r>
      <w:r w:rsidRPr="00642EA1">
        <w:rPr>
          <w:rFonts w:eastAsiaTheme="minorHAnsi"/>
          <w:szCs w:val="24"/>
        </w:rPr>
        <w:t>epresentative from RGD and one from Valuation Department.</w:t>
      </w:r>
    </w:p>
    <w:p w:rsidR="00642EA1" w:rsidRPr="00642EA1" w:rsidRDefault="00642EA1" w:rsidP="00642EA1">
      <w:pPr>
        <w:spacing w:after="0" w:line="240" w:lineRule="auto"/>
        <w:jc w:val="both"/>
        <w:rPr>
          <w:rFonts w:eastAsiaTheme="minorHAnsi"/>
          <w:szCs w:val="24"/>
        </w:rPr>
      </w:pPr>
    </w:p>
    <w:p w:rsidR="00642EA1" w:rsidRPr="00CD425E" w:rsidRDefault="00642EA1" w:rsidP="00642EA1">
      <w:pPr>
        <w:spacing w:after="0" w:line="240" w:lineRule="auto"/>
        <w:jc w:val="both"/>
        <w:rPr>
          <w:rFonts w:eastAsiaTheme="minorHAnsi"/>
          <w:i/>
          <w:szCs w:val="24"/>
        </w:rPr>
      </w:pPr>
      <w:r w:rsidRPr="00CD425E">
        <w:rPr>
          <w:rFonts w:eastAsiaTheme="minorHAnsi"/>
          <w:i/>
          <w:szCs w:val="24"/>
        </w:rPr>
        <w:t>Assessment Review Committee</w:t>
      </w:r>
    </w:p>
    <w:p w:rsidR="00642EA1" w:rsidRPr="00642EA1" w:rsidRDefault="00642EA1" w:rsidP="00642EA1">
      <w:pPr>
        <w:spacing w:after="0" w:line="240" w:lineRule="auto"/>
        <w:jc w:val="both"/>
        <w:rPr>
          <w:rFonts w:eastAsiaTheme="minorHAnsi"/>
          <w:szCs w:val="24"/>
        </w:rPr>
      </w:pPr>
    </w:p>
    <w:p w:rsidR="00642EA1" w:rsidRPr="00642EA1" w:rsidRDefault="00642EA1" w:rsidP="00B628CB">
      <w:pPr>
        <w:numPr>
          <w:ilvl w:val="0"/>
          <w:numId w:val="27"/>
        </w:numPr>
        <w:spacing w:after="0" w:line="240" w:lineRule="auto"/>
        <w:contextualSpacing/>
        <w:jc w:val="both"/>
        <w:rPr>
          <w:rFonts w:eastAsiaTheme="minorHAnsi"/>
          <w:szCs w:val="24"/>
        </w:rPr>
      </w:pPr>
      <w:r w:rsidRPr="00642EA1">
        <w:rPr>
          <w:rFonts w:eastAsiaTheme="minorHAnsi"/>
          <w:szCs w:val="24"/>
        </w:rPr>
        <w:t xml:space="preserve">No provision has been made in the law for ARC to hear a case within a specific time limit. </w:t>
      </w:r>
    </w:p>
    <w:p w:rsidR="00642EA1" w:rsidRPr="00642EA1" w:rsidRDefault="00642EA1" w:rsidP="00642EA1">
      <w:pPr>
        <w:spacing w:after="0" w:line="240" w:lineRule="auto"/>
        <w:ind w:left="360"/>
        <w:contextualSpacing/>
        <w:jc w:val="both"/>
        <w:rPr>
          <w:rFonts w:eastAsiaTheme="minorHAnsi"/>
          <w:szCs w:val="24"/>
        </w:rPr>
      </w:pPr>
      <w:r w:rsidRPr="00642EA1">
        <w:rPr>
          <w:rFonts w:eastAsiaTheme="minorHAnsi"/>
          <w:szCs w:val="24"/>
        </w:rPr>
        <w:lastRenderedPageBreak/>
        <w:t>RGD has no control on the activities of the ARC. We only send a representative to make out the cases on the scheduled day;</w:t>
      </w:r>
    </w:p>
    <w:p w:rsidR="00642EA1" w:rsidRPr="00642EA1" w:rsidRDefault="00642EA1" w:rsidP="00642EA1">
      <w:pPr>
        <w:spacing w:after="0" w:line="240" w:lineRule="auto"/>
        <w:ind w:left="720"/>
        <w:contextualSpacing/>
        <w:jc w:val="both"/>
        <w:rPr>
          <w:rFonts w:eastAsiaTheme="minorHAnsi"/>
          <w:szCs w:val="24"/>
        </w:rPr>
      </w:pPr>
    </w:p>
    <w:p w:rsidR="00642EA1" w:rsidRPr="00642EA1" w:rsidRDefault="00642EA1" w:rsidP="00B628CB">
      <w:pPr>
        <w:numPr>
          <w:ilvl w:val="0"/>
          <w:numId w:val="27"/>
        </w:numPr>
        <w:spacing w:after="0" w:line="240" w:lineRule="auto"/>
        <w:contextualSpacing/>
        <w:jc w:val="both"/>
        <w:rPr>
          <w:rFonts w:eastAsiaTheme="minorHAnsi"/>
          <w:szCs w:val="24"/>
        </w:rPr>
      </w:pPr>
      <w:r w:rsidRPr="00642EA1">
        <w:rPr>
          <w:rFonts w:eastAsiaTheme="minorHAnsi"/>
          <w:szCs w:val="24"/>
        </w:rPr>
        <w:t>A list of lodged cases is provided by ARC on our request on a monthly basis. It is envisaged to enhance our system to in</w:t>
      </w:r>
      <w:r w:rsidR="00CD425E">
        <w:rPr>
          <w:rFonts w:eastAsiaTheme="minorHAnsi"/>
          <w:szCs w:val="24"/>
        </w:rPr>
        <w:t>corporate all these information.</w:t>
      </w:r>
    </w:p>
    <w:p w:rsidR="00642EA1" w:rsidRPr="00642EA1" w:rsidRDefault="00642EA1" w:rsidP="00642EA1">
      <w:pPr>
        <w:spacing w:after="0" w:line="240" w:lineRule="auto"/>
        <w:ind w:left="720"/>
        <w:contextualSpacing/>
        <w:jc w:val="both"/>
        <w:rPr>
          <w:rFonts w:eastAsiaTheme="minorHAnsi"/>
          <w:szCs w:val="24"/>
        </w:rPr>
      </w:pPr>
    </w:p>
    <w:p w:rsidR="00642EA1" w:rsidRPr="00CD425E" w:rsidRDefault="00642EA1" w:rsidP="00642EA1">
      <w:pPr>
        <w:spacing w:after="0" w:line="240" w:lineRule="auto"/>
        <w:jc w:val="both"/>
        <w:rPr>
          <w:rFonts w:eastAsiaTheme="minorHAnsi"/>
          <w:i/>
          <w:szCs w:val="24"/>
        </w:rPr>
      </w:pPr>
      <w:proofErr w:type="spellStart"/>
      <w:r w:rsidRPr="00CD425E">
        <w:rPr>
          <w:rFonts w:eastAsiaTheme="minorHAnsi"/>
          <w:i/>
          <w:szCs w:val="24"/>
        </w:rPr>
        <w:t>Contrainte</w:t>
      </w:r>
      <w:proofErr w:type="spellEnd"/>
    </w:p>
    <w:p w:rsidR="00642EA1" w:rsidRPr="00642EA1" w:rsidRDefault="00642EA1" w:rsidP="00642EA1">
      <w:pPr>
        <w:spacing w:after="0" w:line="240" w:lineRule="auto"/>
        <w:jc w:val="both"/>
        <w:rPr>
          <w:rFonts w:eastAsiaTheme="minorHAnsi"/>
          <w:b/>
          <w:szCs w:val="24"/>
        </w:rPr>
      </w:pPr>
    </w:p>
    <w:p w:rsidR="00642EA1" w:rsidRPr="00642EA1" w:rsidRDefault="00642EA1" w:rsidP="00B628CB">
      <w:pPr>
        <w:numPr>
          <w:ilvl w:val="0"/>
          <w:numId w:val="26"/>
        </w:numPr>
        <w:spacing w:after="0" w:line="240" w:lineRule="auto"/>
        <w:contextualSpacing/>
        <w:jc w:val="both"/>
        <w:rPr>
          <w:rFonts w:eastAsiaTheme="minorHAnsi"/>
          <w:szCs w:val="24"/>
        </w:rPr>
      </w:pPr>
      <w:r w:rsidRPr="00642EA1">
        <w:rPr>
          <w:rFonts w:eastAsiaTheme="minorHAnsi"/>
          <w:szCs w:val="24"/>
        </w:rPr>
        <w:t>Once we refer a case to the AGO to initiate “</w:t>
      </w:r>
      <w:proofErr w:type="spellStart"/>
      <w:r w:rsidRPr="00642EA1">
        <w:rPr>
          <w:rFonts w:eastAsiaTheme="minorHAnsi"/>
          <w:szCs w:val="24"/>
        </w:rPr>
        <w:t>contrainte</w:t>
      </w:r>
      <w:proofErr w:type="spellEnd"/>
      <w:r w:rsidRPr="00642EA1">
        <w:rPr>
          <w:rFonts w:eastAsiaTheme="minorHAnsi"/>
          <w:szCs w:val="24"/>
        </w:rPr>
        <w:t>”</w:t>
      </w:r>
      <w:r w:rsidR="00CD425E">
        <w:rPr>
          <w:rFonts w:eastAsiaTheme="minorHAnsi"/>
          <w:szCs w:val="24"/>
        </w:rPr>
        <w:t>,</w:t>
      </w:r>
      <w:r w:rsidRPr="00642EA1">
        <w:rPr>
          <w:rFonts w:eastAsiaTheme="minorHAnsi"/>
          <w:szCs w:val="24"/>
        </w:rPr>
        <w:t xml:space="preserve"> this Office has no more control on the procedural aspect of the case;</w:t>
      </w:r>
    </w:p>
    <w:p w:rsidR="00642EA1" w:rsidRPr="00642EA1" w:rsidRDefault="00642EA1" w:rsidP="00642EA1">
      <w:pPr>
        <w:spacing w:after="0" w:line="240" w:lineRule="auto"/>
        <w:ind w:left="720"/>
        <w:contextualSpacing/>
        <w:jc w:val="both"/>
        <w:rPr>
          <w:rFonts w:eastAsiaTheme="minorHAnsi"/>
          <w:szCs w:val="24"/>
        </w:rPr>
      </w:pPr>
    </w:p>
    <w:p w:rsidR="00642EA1" w:rsidRPr="00642EA1" w:rsidRDefault="00642EA1" w:rsidP="00B628CB">
      <w:pPr>
        <w:numPr>
          <w:ilvl w:val="0"/>
          <w:numId w:val="26"/>
        </w:numPr>
        <w:spacing w:after="0" w:line="240" w:lineRule="auto"/>
        <w:contextualSpacing/>
        <w:jc w:val="both"/>
        <w:rPr>
          <w:rFonts w:eastAsiaTheme="minorHAnsi"/>
          <w:szCs w:val="24"/>
        </w:rPr>
      </w:pPr>
      <w:r w:rsidRPr="00642EA1">
        <w:rPr>
          <w:rFonts w:eastAsiaTheme="minorHAnsi"/>
          <w:szCs w:val="24"/>
        </w:rPr>
        <w:t xml:space="preserve">A policy decision needs to be taken at higher level as to whether procedures for seizure of property should be initiated as it has been observed that despite the services of </w:t>
      </w:r>
      <w:proofErr w:type="spellStart"/>
      <w:r w:rsidRPr="00642EA1">
        <w:rPr>
          <w:rFonts w:eastAsiaTheme="minorHAnsi"/>
          <w:szCs w:val="24"/>
        </w:rPr>
        <w:t>contrainte</w:t>
      </w:r>
      <w:proofErr w:type="spellEnd"/>
      <w:r w:rsidRPr="00642EA1">
        <w:rPr>
          <w:rFonts w:eastAsiaTheme="minorHAnsi"/>
          <w:szCs w:val="24"/>
        </w:rPr>
        <w:t xml:space="preserve"> procedures, debtors do not turn up.</w:t>
      </w:r>
    </w:p>
    <w:p w:rsidR="00357368" w:rsidRDefault="00357368" w:rsidP="00357368">
      <w:pPr>
        <w:spacing w:after="0" w:line="240" w:lineRule="auto"/>
        <w:jc w:val="both"/>
        <w:rPr>
          <w:b/>
          <w:i/>
          <w:szCs w:val="24"/>
        </w:rPr>
      </w:pPr>
    </w:p>
    <w:p w:rsidR="0056797D" w:rsidRDefault="00586696">
      <w:pPr>
        <w:rPr>
          <w:b/>
          <w:i/>
          <w:szCs w:val="24"/>
        </w:rPr>
      </w:pPr>
      <w:r>
        <w:rPr>
          <w:rFonts w:eastAsiaTheme="minorHAnsi"/>
          <w:noProof/>
          <w:szCs w:val="24"/>
          <w:lang w:val="en-GB" w:eastAsia="en-GB"/>
        </w:rPr>
        <w:pict w14:anchorId="401E9F03">
          <v:shape id="_x0000_s1027" type="#_x0000_t202" style="position:absolute;margin-left:387pt;margin-top:527.25pt;width:105.35pt;height:22.5pt;z-index:251659264;visibility:visible;mso-wrap-distance-top:3.6pt;mso-wrap-distance-bottom:3.6pt;mso-width-relative:margin;mso-height-relative:margin" stroked="f">
            <v:textbox>
              <w:txbxContent>
                <w:p w:rsidR="00E80616" w:rsidRPr="009F119E" w:rsidRDefault="00586696" w:rsidP="00E80616">
                  <w:pPr>
                    <w:jc w:val="center"/>
                    <w:rPr>
                      <w:color w:val="7030A0"/>
                      <w:u w:val="single"/>
                    </w:rPr>
                  </w:pPr>
                  <w:hyperlink r:id="rId8" w:history="1">
                    <w:r w:rsidR="00E80616" w:rsidRPr="009F119E">
                      <w:rPr>
                        <w:rStyle w:val="Hyperlink"/>
                      </w:rPr>
                      <w:t>Back to Contents</w:t>
                    </w:r>
                  </w:hyperlink>
                </w:p>
              </w:txbxContent>
            </v:textbox>
            <w10:wrap type="square"/>
          </v:shape>
        </w:pict>
      </w:r>
      <w:r w:rsidR="0056797D">
        <w:rPr>
          <w:b/>
          <w:i/>
          <w:szCs w:val="24"/>
        </w:rPr>
        <w:br w:type="page"/>
      </w:r>
    </w:p>
    <w:p w:rsidR="00642EA1" w:rsidRPr="00174832" w:rsidRDefault="00642EA1" w:rsidP="00357368">
      <w:pPr>
        <w:spacing w:after="0" w:line="240" w:lineRule="auto"/>
        <w:jc w:val="both"/>
        <w:rPr>
          <w:b/>
          <w:i/>
          <w:szCs w:val="24"/>
        </w:rPr>
      </w:pPr>
    </w:p>
    <w:sectPr w:rsidR="00642EA1" w:rsidRPr="00174832" w:rsidSect="00311808">
      <w:footerReference w:type="default" r:id="rId9"/>
      <w:headerReference w:type="first" r:id="rId10"/>
      <w:footerReference w:type="first" r:id="rId11"/>
      <w:pgSz w:w="11909" w:h="16834" w:code="9"/>
      <w:pgMar w:top="1440" w:right="1440" w:bottom="1440" w:left="1800" w:header="720" w:footer="720" w:gutter="0"/>
      <w:pgNumType w:start="1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72" w:rsidRDefault="00151572" w:rsidP="00037804">
      <w:pPr>
        <w:spacing w:after="0" w:line="240" w:lineRule="auto"/>
      </w:pPr>
      <w:r>
        <w:separator/>
      </w:r>
    </w:p>
  </w:endnote>
  <w:endnote w:type="continuationSeparator" w:id="0">
    <w:p w:rsidR="00151572" w:rsidRDefault="00151572" w:rsidP="0003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2"/>
      </w:rPr>
      <w:id w:val="2284694"/>
      <w:docPartObj>
        <w:docPartGallery w:val="Page Numbers (Bottom of Page)"/>
        <w:docPartUnique/>
      </w:docPartObj>
    </w:sdtPr>
    <w:sdtEndPr/>
    <w:sdtContent>
      <w:p w:rsidR="00151572" w:rsidRPr="00037804" w:rsidRDefault="00151572" w:rsidP="00037804">
        <w:pPr>
          <w:tabs>
            <w:tab w:val="center" w:pos="4680"/>
            <w:tab w:val="right" w:pos="9360"/>
          </w:tabs>
          <w:spacing w:after="0" w:line="240" w:lineRule="auto"/>
          <w:jc w:val="center"/>
          <w:rPr>
            <w:szCs w:val="24"/>
          </w:rPr>
        </w:pPr>
        <w:r w:rsidRPr="00037804">
          <w:rPr>
            <w:szCs w:val="24"/>
          </w:rPr>
          <w:fldChar w:fldCharType="begin"/>
        </w:r>
        <w:r w:rsidRPr="00037804">
          <w:rPr>
            <w:szCs w:val="24"/>
          </w:rPr>
          <w:instrText xml:space="preserve"> PAGE   \* MERGEFORMAT </w:instrText>
        </w:r>
        <w:r w:rsidRPr="00037804">
          <w:rPr>
            <w:szCs w:val="24"/>
          </w:rPr>
          <w:fldChar w:fldCharType="separate"/>
        </w:r>
        <w:r w:rsidR="00586696">
          <w:rPr>
            <w:noProof/>
            <w:szCs w:val="24"/>
          </w:rPr>
          <w:t>166</w:t>
        </w:r>
        <w:r w:rsidRPr="00037804">
          <w:rPr>
            <w:szCs w:val="24"/>
          </w:rPr>
          <w:fldChar w:fldCharType="end"/>
        </w:r>
      </w:p>
    </w:sdtContent>
  </w:sdt>
  <w:p w:rsidR="00151572" w:rsidRDefault="00151572" w:rsidP="00037804">
    <w:pPr>
      <w:tabs>
        <w:tab w:val="center" w:pos="4680"/>
        <w:tab w:val="right" w:pos="9360"/>
      </w:tabs>
      <w:spacing w:after="0" w:line="240" w:lineRule="auto"/>
      <w:jc w:val="center"/>
    </w:pPr>
    <w:r w:rsidRPr="00037804">
      <w:rPr>
        <w:smallCaps/>
        <w:sz w:val="18"/>
        <w:szCs w:val="18"/>
      </w:rPr>
      <w:t>Ministry of Finance and Economic Development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50877"/>
      <w:docPartObj>
        <w:docPartGallery w:val="Page Numbers (Bottom of Page)"/>
        <w:docPartUnique/>
      </w:docPartObj>
    </w:sdtPr>
    <w:sdtEndPr>
      <w:rPr>
        <w:noProof/>
      </w:rPr>
    </w:sdtEndPr>
    <w:sdtContent>
      <w:p w:rsidR="00151572" w:rsidRDefault="00151572">
        <w:pPr>
          <w:pStyle w:val="Footer"/>
          <w:jc w:val="center"/>
        </w:pPr>
        <w:r>
          <w:fldChar w:fldCharType="begin"/>
        </w:r>
        <w:r>
          <w:instrText xml:space="preserve"> PAGE   \* MERGEFORMAT </w:instrText>
        </w:r>
        <w:r>
          <w:fldChar w:fldCharType="separate"/>
        </w:r>
        <w:r w:rsidR="00586696">
          <w:rPr>
            <w:noProof/>
          </w:rPr>
          <w:t>133</w:t>
        </w:r>
        <w:r>
          <w:rPr>
            <w:noProof/>
          </w:rPr>
          <w:fldChar w:fldCharType="end"/>
        </w:r>
      </w:p>
    </w:sdtContent>
  </w:sdt>
  <w:p w:rsidR="00151572" w:rsidRPr="00037804" w:rsidRDefault="00151572" w:rsidP="0003780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72" w:rsidRDefault="00151572" w:rsidP="00037804">
      <w:pPr>
        <w:spacing w:after="0" w:line="240" w:lineRule="auto"/>
      </w:pPr>
      <w:r>
        <w:separator/>
      </w:r>
    </w:p>
  </w:footnote>
  <w:footnote w:type="continuationSeparator" w:id="0">
    <w:p w:rsidR="00151572" w:rsidRDefault="00151572" w:rsidP="00037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72" w:rsidRDefault="00151572" w:rsidP="00907152">
    <w:pPr>
      <w:spacing w:after="0" w:line="240" w:lineRule="auto"/>
      <w:jc w:val="center"/>
    </w:pPr>
    <w:r w:rsidRPr="00773750">
      <w:rPr>
        <w:b/>
        <w:smallCaps/>
        <w:sz w:val="40"/>
        <w:szCs w:val="40"/>
      </w:rPr>
      <w:t>6 – Ministry of Finance and Economic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F23CD"/>
    <w:multiLevelType w:val="hybridMultilevel"/>
    <w:tmpl w:val="BEE00B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21F60"/>
    <w:multiLevelType w:val="hybridMultilevel"/>
    <w:tmpl w:val="D1ECF6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876E9"/>
    <w:multiLevelType w:val="multilevel"/>
    <w:tmpl w:val="2B74838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6044DE"/>
    <w:multiLevelType w:val="hybridMultilevel"/>
    <w:tmpl w:val="98383D4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E61"/>
    <w:multiLevelType w:val="hybridMultilevel"/>
    <w:tmpl w:val="6D585D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25A50"/>
    <w:multiLevelType w:val="hybridMultilevel"/>
    <w:tmpl w:val="0D1682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907E04"/>
    <w:multiLevelType w:val="hybridMultilevel"/>
    <w:tmpl w:val="7226A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F3196"/>
    <w:multiLevelType w:val="hybridMultilevel"/>
    <w:tmpl w:val="60587426"/>
    <w:lvl w:ilvl="0" w:tplc="58065F78">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113A5"/>
    <w:multiLevelType w:val="multilevel"/>
    <w:tmpl w:val="A600E1D2"/>
    <w:lvl w:ilvl="0">
      <w:start w:val="4"/>
      <w:numFmt w:val="decimal"/>
      <w:lvlText w:val="%1"/>
      <w:lvlJc w:val="left"/>
      <w:pPr>
        <w:ind w:left="480" w:hanging="480"/>
      </w:pPr>
      <w:rPr>
        <w:rFonts w:hint="default"/>
        <w:i/>
      </w:rPr>
    </w:lvl>
    <w:lvl w:ilvl="1">
      <w:start w:val="3"/>
      <w:numFmt w:val="decimal"/>
      <w:lvlText w:val="%1.%2"/>
      <w:lvlJc w:val="left"/>
      <w:pPr>
        <w:ind w:left="480" w:hanging="480"/>
      </w:pPr>
      <w:rPr>
        <w:rFonts w:hint="default"/>
        <w:i/>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27E124CC"/>
    <w:multiLevelType w:val="hybridMultilevel"/>
    <w:tmpl w:val="AA8C39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D7475"/>
    <w:multiLevelType w:val="hybridMultilevel"/>
    <w:tmpl w:val="F58A34F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0675A"/>
    <w:multiLevelType w:val="hybridMultilevel"/>
    <w:tmpl w:val="87BCCA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F1F76"/>
    <w:multiLevelType w:val="hybridMultilevel"/>
    <w:tmpl w:val="64463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011B4"/>
    <w:multiLevelType w:val="hybridMultilevel"/>
    <w:tmpl w:val="8FAC2E3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54E42"/>
    <w:multiLevelType w:val="hybridMultilevel"/>
    <w:tmpl w:val="45AC6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B4766"/>
    <w:multiLevelType w:val="hybridMultilevel"/>
    <w:tmpl w:val="C12C64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78DD"/>
    <w:multiLevelType w:val="hybridMultilevel"/>
    <w:tmpl w:val="1B18C1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A9033C"/>
    <w:multiLevelType w:val="multilevel"/>
    <w:tmpl w:val="79984F0C"/>
    <w:lvl w:ilvl="0">
      <w:start w:val="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BE5813"/>
    <w:multiLevelType w:val="hybridMultilevel"/>
    <w:tmpl w:val="2D8008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C435B"/>
    <w:multiLevelType w:val="hybridMultilevel"/>
    <w:tmpl w:val="58784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45C8B"/>
    <w:multiLevelType w:val="hybridMultilevel"/>
    <w:tmpl w:val="203CF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35C6B"/>
    <w:multiLevelType w:val="hybridMultilevel"/>
    <w:tmpl w:val="69927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D74AA"/>
    <w:multiLevelType w:val="hybridMultilevel"/>
    <w:tmpl w:val="04360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83990"/>
    <w:multiLevelType w:val="hybridMultilevel"/>
    <w:tmpl w:val="84C4C4A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DC201D"/>
    <w:multiLevelType w:val="hybridMultilevel"/>
    <w:tmpl w:val="79FC23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5D43A8"/>
    <w:multiLevelType w:val="hybridMultilevel"/>
    <w:tmpl w:val="957E8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B5A18"/>
    <w:multiLevelType w:val="hybridMultilevel"/>
    <w:tmpl w:val="0E0A0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85B01"/>
    <w:multiLevelType w:val="hybridMultilevel"/>
    <w:tmpl w:val="A6B4F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882219"/>
    <w:multiLevelType w:val="hybridMultilevel"/>
    <w:tmpl w:val="93D4A8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B255EB"/>
    <w:multiLevelType w:val="hybridMultilevel"/>
    <w:tmpl w:val="E44257B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B2E65A0"/>
    <w:multiLevelType w:val="hybridMultilevel"/>
    <w:tmpl w:val="8C6A37DA"/>
    <w:lvl w:ilvl="0" w:tplc="0409000B">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100480"/>
    <w:multiLevelType w:val="hybridMultilevel"/>
    <w:tmpl w:val="114044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1"/>
  </w:num>
  <w:num w:numId="4">
    <w:abstractNumId w:val="10"/>
  </w:num>
  <w:num w:numId="5">
    <w:abstractNumId w:val="4"/>
  </w:num>
  <w:num w:numId="6">
    <w:abstractNumId w:val="23"/>
  </w:num>
  <w:num w:numId="7">
    <w:abstractNumId w:val="3"/>
  </w:num>
  <w:num w:numId="8">
    <w:abstractNumId w:val="27"/>
  </w:num>
  <w:num w:numId="9">
    <w:abstractNumId w:val="30"/>
  </w:num>
  <w:num w:numId="10">
    <w:abstractNumId w:val="12"/>
  </w:num>
  <w:num w:numId="11">
    <w:abstractNumId w:val="26"/>
  </w:num>
  <w:num w:numId="12">
    <w:abstractNumId w:val="0"/>
  </w:num>
  <w:num w:numId="13">
    <w:abstractNumId w:val="7"/>
  </w:num>
  <w:num w:numId="14">
    <w:abstractNumId w:val="14"/>
  </w:num>
  <w:num w:numId="15">
    <w:abstractNumId w:val="6"/>
  </w:num>
  <w:num w:numId="16">
    <w:abstractNumId w:val="16"/>
  </w:num>
  <w:num w:numId="17">
    <w:abstractNumId w:val="25"/>
  </w:num>
  <w:num w:numId="18">
    <w:abstractNumId w:val="19"/>
  </w:num>
  <w:num w:numId="19">
    <w:abstractNumId w:val="20"/>
  </w:num>
  <w:num w:numId="20">
    <w:abstractNumId w:val="5"/>
  </w:num>
  <w:num w:numId="21">
    <w:abstractNumId w:val="24"/>
  </w:num>
  <w:num w:numId="22">
    <w:abstractNumId w:val="21"/>
  </w:num>
  <w:num w:numId="23">
    <w:abstractNumId w:val="17"/>
  </w:num>
  <w:num w:numId="24">
    <w:abstractNumId w:val="13"/>
  </w:num>
  <w:num w:numId="25">
    <w:abstractNumId w:val="18"/>
  </w:num>
  <w:num w:numId="26">
    <w:abstractNumId w:val="15"/>
  </w:num>
  <w:num w:numId="27">
    <w:abstractNumId w:val="1"/>
  </w:num>
  <w:num w:numId="28">
    <w:abstractNumId w:val="22"/>
  </w:num>
  <w:num w:numId="29">
    <w:abstractNumId w:val="11"/>
  </w:num>
  <w:num w:numId="30">
    <w:abstractNumId w:val="9"/>
  </w:num>
  <w:num w:numId="31">
    <w:abstractNumId w:val="28"/>
  </w:num>
  <w:num w:numId="32">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E13107"/>
    <w:rsid w:val="00004619"/>
    <w:rsid w:val="00037804"/>
    <w:rsid w:val="00040CAC"/>
    <w:rsid w:val="000500D4"/>
    <w:rsid w:val="00056F45"/>
    <w:rsid w:val="00067FDF"/>
    <w:rsid w:val="000A07DA"/>
    <w:rsid w:val="000E1C3A"/>
    <w:rsid w:val="001019AF"/>
    <w:rsid w:val="00151572"/>
    <w:rsid w:val="00170692"/>
    <w:rsid w:val="00195052"/>
    <w:rsid w:val="00196B9E"/>
    <w:rsid w:val="001E56BF"/>
    <w:rsid w:val="001F11DF"/>
    <w:rsid w:val="00252346"/>
    <w:rsid w:val="00285264"/>
    <w:rsid w:val="002B34E8"/>
    <w:rsid w:val="002C78B1"/>
    <w:rsid w:val="002D7576"/>
    <w:rsid w:val="002F002F"/>
    <w:rsid w:val="002F1136"/>
    <w:rsid w:val="00310E0F"/>
    <w:rsid w:val="00311808"/>
    <w:rsid w:val="00320059"/>
    <w:rsid w:val="00325A8E"/>
    <w:rsid w:val="00357368"/>
    <w:rsid w:val="0038510C"/>
    <w:rsid w:val="003B2DE0"/>
    <w:rsid w:val="003B37AE"/>
    <w:rsid w:val="003C3E99"/>
    <w:rsid w:val="00414D4D"/>
    <w:rsid w:val="00454466"/>
    <w:rsid w:val="00475731"/>
    <w:rsid w:val="00484ABE"/>
    <w:rsid w:val="004A710B"/>
    <w:rsid w:val="0050231D"/>
    <w:rsid w:val="00511592"/>
    <w:rsid w:val="00517580"/>
    <w:rsid w:val="0056797D"/>
    <w:rsid w:val="00573608"/>
    <w:rsid w:val="00581558"/>
    <w:rsid w:val="00586696"/>
    <w:rsid w:val="005A29B9"/>
    <w:rsid w:val="005A719B"/>
    <w:rsid w:val="005C4801"/>
    <w:rsid w:val="005C599C"/>
    <w:rsid w:val="005F701B"/>
    <w:rsid w:val="0060041D"/>
    <w:rsid w:val="0062142E"/>
    <w:rsid w:val="00642EA1"/>
    <w:rsid w:val="00675B8A"/>
    <w:rsid w:val="00695CE0"/>
    <w:rsid w:val="006D14DB"/>
    <w:rsid w:val="006E33B9"/>
    <w:rsid w:val="006E43E0"/>
    <w:rsid w:val="006E5780"/>
    <w:rsid w:val="006E69E3"/>
    <w:rsid w:val="0070694E"/>
    <w:rsid w:val="00717A3E"/>
    <w:rsid w:val="00723284"/>
    <w:rsid w:val="00735A1A"/>
    <w:rsid w:val="007508A7"/>
    <w:rsid w:val="00773750"/>
    <w:rsid w:val="00780A3A"/>
    <w:rsid w:val="00790E1B"/>
    <w:rsid w:val="00793D24"/>
    <w:rsid w:val="00794249"/>
    <w:rsid w:val="0079433D"/>
    <w:rsid w:val="007E5959"/>
    <w:rsid w:val="007E70D4"/>
    <w:rsid w:val="0087025F"/>
    <w:rsid w:val="00870E58"/>
    <w:rsid w:val="00874F01"/>
    <w:rsid w:val="00893D67"/>
    <w:rsid w:val="008B13E8"/>
    <w:rsid w:val="008E5443"/>
    <w:rsid w:val="00907152"/>
    <w:rsid w:val="009301C7"/>
    <w:rsid w:val="0095055A"/>
    <w:rsid w:val="00951F36"/>
    <w:rsid w:val="009670AC"/>
    <w:rsid w:val="00984105"/>
    <w:rsid w:val="009A1523"/>
    <w:rsid w:val="009B3218"/>
    <w:rsid w:val="009F0858"/>
    <w:rsid w:val="009F58DA"/>
    <w:rsid w:val="009F6E67"/>
    <w:rsid w:val="00A33577"/>
    <w:rsid w:val="00A754B9"/>
    <w:rsid w:val="00A75AE4"/>
    <w:rsid w:val="00A82AE4"/>
    <w:rsid w:val="00AB51BB"/>
    <w:rsid w:val="00AC7AA2"/>
    <w:rsid w:val="00AE28B4"/>
    <w:rsid w:val="00B04B82"/>
    <w:rsid w:val="00B06B3C"/>
    <w:rsid w:val="00B134CC"/>
    <w:rsid w:val="00B272D7"/>
    <w:rsid w:val="00B36526"/>
    <w:rsid w:val="00B505AC"/>
    <w:rsid w:val="00B540A8"/>
    <w:rsid w:val="00B61CBB"/>
    <w:rsid w:val="00B628CB"/>
    <w:rsid w:val="00BA5C02"/>
    <w:rsid w:val="00BB166C"/>
    <w:rsid w:val="00BD200B"/>
    <w:rsid w:val="00BE5DAD"/>
    <w:rsid w:val="00C210F4"/>
    <w:rsid w:val="00C22710"/>
    <w:rsid w:val="00C36727"/>
    <w:rsid w:val="00C47462"/>
    <w:rsid w:val="00C65BB6"/>
    <w:rsid w:val="00C873F1"/>
    <w:rsid w:val="00CA4A50"/>
    <w:rsid w:val="00CD425E"/>
    <w:rsid w:val="00D02D37"/>
    <w:rsid w:val="00D3595A"/>
    <w:rsid w:val="00D36956"/>
    <w:rsid w:val="00D54927"/>
    <w:rsid w:val="00D57473"/>
    <w:rsid w:val="00D6786A"/>
    <w:rsid w:val="00D67A2B"/>
    <w:rsid w:val="00D76331"/>
    <w:rsid w:val="00DC4E47"/>
    <w:rsid w:val="00DE09C2"/>
    <w:rsid w:val="00DE55AE"/>
    <w:rsid w:val="00E13107"/>
    <w:rsid w:val="00E2281B"/>
    <w:rsid w:val="00E2320A"/>
    <w:rsid w:val="00E253D5"/>
    <w:rsid w:val="00E26960"/>
    <w:rsid w:val="00E3491A"/>
    <w:rsid w:val="00E52DE0"/>
    <w:rsid w:val="00E80616"/>
    <w:rsid w:val="00EC7224"/>
    <w:rsid w:val="00ED7B7F"/>
    <w:rsid w:val="00EE043E"/>
    <w:rsid w:val="00EF4D3F"/>
    <w:rsid w:val="00F50130"/>
    <w:rsid w:val="00FB3F41"/>
    <w:rsid w:val="00FC0FC3"/>
    <w:rsid w:val="00FD263D"/>
    <w:rsid w:val="00FF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26DCFC9E-3066-451E-9A05-5CC1F561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10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107"/>
    <w:pPr>
      <w:ind w:left="720"/>
      <w:contextualSpacing/>
    </w:pPr>
  </w:style>
  <w:style w:type="table" w:styleId="TableGrid">
    <w:name w:val="Table Grid"/>
    <w:basedOn w:val="TableNormal"/>
    <w:uiPriority w:val="39"/>
    <w:rsid w:val="00FB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4ABE"/>
    <w:pPr>
      <w:spacing w:after="0" w:line="240" w:lineRule="auto"/>
    </w:pPr>
    <w:rPr>
      <w:rFonts w:ascii="Calibri" w:eastAsia="Calibri" w:hAnsi="Calibri" w:cs="Times New Roman"/>
      <w:sz w:val="22"/>
    </w:rPr>
  </w:style>
  <w:style w:type="paragraph" w:customStyle="1" w:styleId="p8">
    <w:name w:val="p8"/>
    <w:basedOn w:val="Normal"/>
    <w:rsid w:val="00484ABE"/>
    <w:pPr>
      <w:widowControl w:val="0"/>
      <w:spacing w:after="0" w:line="240" w:lineRule="auto"/>
      <w:jc w:val="both"/>
    </w:pPr>
    <w:rPr>
      <w:rFonts w:eastAsia="Times New Roman"/>
      <w:snapToGrid w:val="0"/>
      <w:szCs w:val="20"/>
      <w:lang w:val="en-GB"/>
    </w:rPr>
  </w:style>
  <w:style w:type="table" w:customStyle="1" w:styleId="TableGrid3">
    <w:name w:val="Table Grid3"/>
    <w:basedOn w:val="TableNormal"/>
    <w:next w:val="TableGrid"/>
    <w:uiPriority w:val="39"/>
    <w:rsid w:val="00484AB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804"/>
    <w:rPr>
      <w:rFonts w:eastAsia="Calibri" w:cs="Times New Roman"/>
    </w:rPr>
  </w:style>
  <w:style w:type="paragraph" w:styleId="Footer">
    <w:name w:val="footer"/>
    <w:basedOn w:val="Normal"/>
    <w:link w:val="FooterChar"/>
    <w:uiPriority w:val="99"/>
    <w:unhideWhenUsed/>
    <w:rsid w:val="00037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804"/>
    <w:rPr>
      <w:rFonts w:eastAsia="Calibri" w:cs="Times New Roman"/>
    </w:rPr>
  </w:style>
  <w:style w:type="table" w:customStyle="1" w:styleId="TableGrid1">
    <w:name w:val="Table Grid1"/>
    <w:basedOn w:val="TableNormal"/>
    <w:next w:val="TableGrid"/>
    <w:uiPriority w:val="59"/>
    <w:rsid w:val="00870E58"/>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33D"/>
    <w:rPr>
      <w:rFonts w:ascii="Segoe UI" w:eastAsia="Calibri" w:hAnsi="Segoe UI" w:cs="Segoe UI"/>
      <w:sz w:val="18"/>
      <w:szCs w:val="18"/>
    </w:rPr>
  </w:style>
  <w:style w:type="character" w:styleId="Hyperlink">
    <w:name w:val="Hyperlink"/>
    <w:basedOn w:val="DefaultParagraphFont"/>
    <w:uiPriority w:val="99"/>
    <w:unhideWhenUsed/>
    <w:rsid w:val="00E80616"/>
    <w:rPr>
      <w:rFonts w:cs="Times New Roman"/>
      <w:color w:val="0000FF" w:themeColor="hyperlink"/>
      <w:u w:val="single"/>
    </w:rPr>
  </w:style>
  <w:style w:type="character" w:styleId="FollowedHyperlink">
    <w:name w:val="FollowedHyperlink"/>
    <w:basedOn w:val="DefaultParagraphFont"/>
    <w:uiPriority w:val="99"/>
    <w:semiHidden/>
    <w:unhideWhenUsed/>
    <w:rsid w:val="0058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4193">
      <w:bodyDiv w:val="1"/>
      <w:marLeft w:val="0"/>
      <w:marRight w:val="0"/>
      <w:marTop w:val="0"/>
      <w:marBottom w:val="0"/>
      <w:divBdr>
        <w:top w:val="none" w:sz="0" w:space="0" w:color="auto"/>
        <w:left w:val="none" w:sz="0" w:space="0" w:color="auto"/>
        <w:bottom w:val="none" w:sz="0" w:space="0" w:color="auto"/>
        <w:right w:val="none" w:sz="0" w:space="0" w:color="auto"/>
      </w:divBdr>
    </w:div>
    <w:div w:id="778987393">
      <w:bodyDiv w:val="1"/>
      <w:marLeft w:val="0"/>
      <w:marRight w:val="0"/>
      <w:marTop w:val="0"/>
      <w:marBottom w:val="0"/>
      <w:divBdr>
        <w:top w:val="none" w:sz="0" w:space="0" w:color="auto"/>
        <w:left w:val="none" w:sz="0" w:space="0" w:color="auto"/>
        <w:bottom w:val="none" w:sz="0" w:space="0" w:color="auto"/>
        <w:right w:val="none" w:sz="0" w:space="0" w:color="auto"/>
      </w:divBdr>
    </w:div>
    <w:div w:id="825824331">
      <w:bodyDiv w:val="1"/>
      <w:marLeft w:val="0"/>
      <w:marRight w:val="0"/>
      <w:marTop w:val="0"/>
      <w:marBottom w:val="0"/>
      <w:divBdr>
        <w:top w:val="none" w:sz="0" w:space="0" w:color="auto"/>
        <w:left w:val="none" w:sz="0" w:space="0" w:color="auto"/>
        <w:bottom w:val="none" w:sz="0" w:space="0" w:color="auto"/>
        <w:right w:val="none" w:sz="0" w:space="0" w:color="auto"/>
      </w:divBdr>
    </w:div>
    <w:div w:id="19022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34</Pages>
  <Words>9171</Words>
  <Characters>52279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76</cp:revision>
  <cp:lastPrinted>2018-02-26T12:47:00Z</cp:lastPrinted>
  <dcterms:created xsi:type="dcterms:W3CDTF">2018-02-15T11:15:00Z</dcterms:created>
  <dcterms:modified xsi:type="dcterms:W3CDTF">2018-03-26T05:13:00Z</dcterms:modified>
</cp:coreProperties>
</file>