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6B4" w:rsidRDefault="00A427E2" w:rsidP="00CF46B4">
      <w:pPr>
        <w:spacing w:after="0" w:line="240" w:lineRule="auto"/>
        <w:jc w:val="both"/>
        <w:rPr>
          <w:b/>
          <w:szCs w:val="24"/>
        </w:rPr>
      </w:pPr>
      <w:r>
        <w:rPr>
          <w:b/>
          <w:noProof/>
          <w:szCs w:val="24"/>
          <w:lang w:val="en-GB" w:eastAsia="en-GB"/>
        </w:rPr>
        <w:pict w14:anchorId="1EA64D2B">
          <v:shapetype id="_x0000_t202" coordsize="21600,21600" o:spt="202" path="m,l,21600r21600,l21600,xe">
            <v:stroke joinstyle="miter"/>
            <v:path gradientshapeok="t" o:connecttype="rect"/>
          </v:shapetype>
          <v:shape id="Text Box 2" o:spid="_x0000_s1026" type="#_x0000_t202" style="position:absolute;left:0;text-align:left;margin-left:384.75pt;margin-top:-73pt;width:105.35pt;height:22.5pt;z-index:251658240;visibility:visible;mso-wrap-distance-top:3.6pt;mso-wrap-distance-bottom:3.6pt;mso-width-relative:margin;mso-height-relative:margin" stroked="f">
            <v:textbox>
              <w:txbxContent>
                <w:p w:rsidR="006C31CB" w:rsidRPr="009F119E" w:rsidRDefault="00A427E2" w:rsidP="006C31CB">
                  <w:pPr>
                    <w:jc w:val="center"/>
                    <w:rPr>
                      <w:color w:val="7030A0"/>
                      <w:u w:val="single"/>
                    </w:rPr>
                  </w:pPr>
                  <w:hyperlink r:id="rId8" w:history="1">
                    <w:r w:rsidR="006C31CB" w:rsidRPr="009F119E">
                      <w:rPr>
                        <w:rStyle w:val="Hyperlink"/>
                      </w:rPr>
                      <w:t>Back to Co</w:t>
                    </w:r>
                    <w:bookmarkStart w:id="0" w:name="_GoBack"/>
                    <w:r w:rsidR="006C31CB" w:rsidRPr="009F119E">
                      <w:rPr>
                        <w:rStyle w:val="Hyperlink"/>
                      </w:rPr>
                      <w:t>n</w:t>
                    </w:r>
                    <w:bookmarkEnd w:id="0"/>
                    <w:r w:rsidR="006C31CB" w:rsidRPr="009F119E">
                      <w:rPr>
                        <w:rStyle w:val="Hyperlink"/>
                      </w:rPr>
                      <w:t>tents</w:t>
                    </w:r>
                  </w:hyperlink>
                </w:p>
              </w:txbxContent>
            </v:textbox>
            <w10:wrap type="square"/>
          </v:shape>
        </w:pict>
      </w:r>
    </w:p>
    <w:p w:rsidR="00CF46B4" w:rsidRPr="005B2169" w:rsidRDefault="00CF46B4" w:rsidP="00CF46B4">
      <w:pPr>
        <w:spacing w:after="0" w:line="240" w:lineRule="auto"/>
        <w:jc w:val="both"/>
        <w:rPr>
          <w:szCs w:val="24"/>
        </w:rPr>
      </w:pPr>
      <w:r>
        <w:rPr>
          <w:b/>
          <w:szCs w:val="24"/>
        </w:rPr>
        <w:t>4.1</w:t>
      </w:r>
      <w:r>
        <w:rPr>
          <w:b/>
          <w:szCs w:val="24"/>
        </w:rPr>
        <w:tab/>
        <w:t xml:space="preserve">Assets </w:t>
      </w:r>
      <w:r w:rsidRPr="005B2169">
        <w:rPr>
          <w:b/>
          <w:szCs w:val="24"/>
        </w:rPr>
        <w:t>Management</w:t>
      </w:r>
      <w:r w:rsidRPr="005B2169">
        <w:rPr>
          <w:szCs w:val="24"/>
        </w:rPr>
        <w:t xml:space="preserve"> </w:t>
      </w:r>
    </w:p>
    <w:p w:rsidR="00CF46B4" w:rsidRDefault="00CF46B4" w:rsidP="00CF46B4">
      <w:pPr>
        <w:spacing w:after="0" w:line="240" w:lineRule="auto"/>
        <w:jc w:val="both"/>
        <w:rPr>
          <w:szCs w:val="24"/>
        </w:rPr>
      </w:pPr>
    </w:p>
    <w:p w:rsidR="00CF46B4" w:rsidRDefault="00CF46B4" w:rsidP="00CF46B4">
      <w:pPr>
        <w:spacing w:after="0" w:line="240" w:lineRule="auto"/>
        <w:jc w:val="both"/>
        <w:rPr>
          <w:rFonts w:eastAsia="Times New Roman"/>
          <w:color w:val="000000"/>
          <w:szCs w:val="24"/>
        </w:rPr>
      </w:pPr>
      <w:r>
        <w:rPr>
          <w:szCs w:val="24"/>
        </w:rPr>
        <w:t>Lands owned by Government</w:t>
      </w:r>
      <w:r w:rsidRPr="00AF4B68">
        <w:rPr>
          <w:szCs w:val="24"/>
        </w:rPr>
        <w:t xml:space="preserve"> are managed by the Mini</w:t>
      </w:r>
      <w:r>
        <w:rPr>
          <w:szCs w:val="24"/>
        </w:rPr>
        <w:t>stry.</w:t>
      </w:r>
      <w:r w:rsidR="00E43BEE">
        <w:rPr>
          <w:szCs w:val="24"/>
        </w:rPr>
        <w:t xml:space="preserve"> </w:t>
      </w:r>
      <w:r w:rsidRPr="00AF4B68">
        <w:rPr>
          <w:rFonts w:eastAsia="Times New Roman"/>
          <w:color w:val="000000"/>
          <w:szCs w:val="24"/>
        </w:rPr>
        <w:t xml:space="preserve">Between January </w:t>
      </w:r>
      <w:r>
        <w:rPr>
          <w:rFonts w:eastAsia="Times New Roman"/>
          <w:color w:val="000000"/>
          <w:szCs w:val="24"/>
        </w:rPr>
        <w:t>2013 and June 2017, it</w:t>
      </w:r>
      <w:r w:rsidRPr="00AF4B68">
        <w:rPr>
          <w:rFonts w:eastAsia="Times New Roman"/>
          <w:color w:val="000000"/>
          <w:szCs w:val="24"/>
        </w:rPr>
        <w:t xml:space="preserve"> has </w:t>
      </w:r>
      <w:r w:rsidRPr="00AF4B68">
        <w:rPr>
          <w:szCs w:val="24"/>
        </w:rPr>
        <w:t>disbursed</w:t>
      </w:r>
      <w:r w:rsidRPr="00AF4B68">
        <w:rPr>
          <w:rFonts w:eastAsia="Times New Roman"/>
          <w:color w:val="000000"/>
          <w:szCs w:val="24"/>
        </w:rPr>
        <w:t xml:space="preserve"> significant funds </w:t>
      </w:r>
      <w:proofErr w:type="spellStart"/>
      <w:r w:rsidRPr="00AF4B68">
        <w:rPr>
          <w:rFonts w:eastAsia="Times New Roman"/>
          <w:color w:val="000000"/>
          <w:szCs w:val="24"/>
        </w:rPr>
        <w:t>tota</w:t>
      </w:r>
      <w:r w:rsidR="00CF5CC4">
        <w:rPr>
          <w:rFonts w:eastAsia="Times New Roman"/>
          <w:color w:val="000000"/>
          <w:szCs w:val="24"/>
        </w:rPr>
        <w:t>l</w:t>
      </w:r>
      <w:r w:rsidRPr="00AF4B68">
        <w:rPr>
          <w:rFonts w:eastAsia="Times New Roman"/>
          <w:color w:val="000000"/>
          <w:szCs w:val="24"/>
        </w:rPr>
        <w:t>ling</w:t>
      </w:r>
      <w:proofErr w:type="spellEnd"/>
      <w:r w:rsidRPr="00AF4B68">
        <w:rPr>
          <w:rFonts w:eastAsia="Times New Roman"/>
          <w:color w:val="000000"/>
          <w:szCs w:val="24"/>
        </w:rPr>
        <w:t xml:space="preserve"> Rs 3,051.6 million</w:t>
      </w:r>
      <w:r>
        <w:rPr>
          <w:rFonts w:eastAsia="Times New Roman"/>
          <w:color w:val="000000"/>
          <w:szCs w:val="24"/>
        </w:rPr>
        <w:t>,</w:t>
      </w:r>
      <w:r w:rsidRPr="00AF4B68">
        <w:rPr>
          <w:rFonts w:eastAsia="Times New Roman"/>
          <w:color w:val="000000"/>
          <w:szCs w:val="24"/>
        </w:rPr>
        <w:t xml:space="preserve"> </w:t>
      </w:r>
      <w:r>
        <w:rPr>
          <w:rFonts w:eastAsia="Times New Roman"/>
          <w:color w:val="000000"/>
          <w:szCs w:val="24"/>
        </w:rPr>
        <w:t xml:space="preserve">mainly </w:t>
      </w:r>
      <w:r w:rsidR="00CF5CC4">
        <w:rPr>
          <w:rFonts w:eastAsia="Times New Roman"/>
          <w:color w:val="000000"/>
          <w:szCs w:val="24"/>
        </w:rPr>
        <w:t xml:space="preserve">for the payment of </w:t>
      </w:r>
      <w:r w:rsidRPr="00AF4B68">
        <w:rPr>
          <w:rFonts w:eastAsia="Times New Roman"/>
          <w:color w:val="000000"/>
          <w:szCs w:val="24"/>
        </w:rPr>
        <w:t>compensations</w:t>
      </w:r>
      <w:r>
        <w:rPr>
          <w:rFonts w:eastAsia="Times New Roman"/>
          <w:color w:val="000000"/>
          <w:szCs w:val="24"/>
        </w:rPr>
        <w:t xml:space="preserve"> and</w:t>
      </w:r>
      <w:r w:rsidR="00CF5CC4">
        <w:rPr>
          <w:rFonts w:eastAsia="Times New Roman"/>
          <w:color w:val="000000"/>
          <w:szCs w:val="24"/>
        </w:rPr>
        <w:t xml:space="preserve"> interests.</w:t>
      </w:r>
    </w:p>
    <w:p w:rsidR="00CF46B4" w:rsidRDefault="00CF46B4" w:rsidP="00CF46B4">
      <w:pPr>
        <w:spacing w:after="0" w:line="240" w:lineRule="auto"/>
        <w:jc w:val="both"/>
        <w:rPr>
          <w:szCs w:val="24"/>
        </w:rPr>
      </w:pPr>
    </w:p>
    <w:p w:rsidR="00CF46B4" w:rsidRDefault="00CF46B4" w:rsidP="00CF46B4">
      <w:pPr>
        <w:numPr>
          <w:ilvl w:val="0"/>
          <w:numId w:val="1"/>
        </w:numPr>
        <w:spacing w:after="0" w:line="240" w:lineRule="auto"/>
        <w:jc w:val="both"/>
        <w:rPr>
          <w:szCs w:val="24"/>
        </w:rPr>
      </w:pPr>
      <w:r w:rsidRPr="00AF4B68">
        <w:rPr>
          <w:szCs w:val="24"/>
        </w:rPr>
        <w:t xml:space="preserve">In the absence of an </w:t>
      </w:r>
      <w:r>
        <w:rPr>
          <w:szCs w:val="24"/>
        </w:rPr>
        <w:t>A</w:t>
      </w:r>
      <w:r w:rsidRPr="00AF4B68">
        <w:rPr>
          <w:szCs w:val="24"/>
        </w:rPr>
        <w:t xml:space="preserve">sset </w:t>
      </w:r>
      <w:r>
        <w:rPr>
          <w:szCs w:val="24"/>
        </w:rPr>
        <w:t>R</w:t>
      </w:r>
      <w:r w:rsidRPr="00AF4B68">
        <w:rPr>
          <w:szCs w:val="24"/>
        </w:rPr>
        <w:t>egister</w:t>
      </w:r>
      <w:r>
        <w:rPr>
          <w:szCs w:val="24"/>
        </w:rPr>
        <w:t>,</w:t>
      </w:r>
      <w:r w:rsidRPr="00AF4B68">
        <w:rPr>
          <w:szCs w:val="24"/>
        </w:rPr>
        <w:t xml:space="preserve"> the existence, locations, cost and area of all lands owned by Government</w:t>
      </w:r>
      <w:r>
        <w:rPr>
          <w:szCs w:val="24"/>
        </w:rPr>
        <w:t xml:space="preserve"> could not be ascertained;</w:t>
      </w:r>
      <w:r w:rsidRPr="00AF4B68">
        <w:rPr>
          <w:szCs w:val="24"/>
        </w:rPr>
        <w:t xml:space="preserve"> </w:t>
      </w:r>
    </w:p>
    <w:p w:rsidR="00CF46B4" w:rsidRPr="00AF4B68" w:rsidRDefault="00CF46B4" w:rsidP="00CF46B4">
      <w:pPr>
        <w:spacing w:after="0" w:line="240" w:lineRule="auto"/>
        <w:ind w:left="360"/>
        <w:jc w:val="both"/>
        <w:rPr>
          <w:szCs w:val="24"/>
        </w:rPr>
      </w:pPr>
    </w:p>
    <w:p w:rsidR="00CF46B4" w:rsidRDefault="00CF46B4" w:rsidP="00CF46B4">
      <w:pPr>
        <w:numPr>
          <w:ilvl w:val="0"/>
          <w:numId w:val="1"/>
        </w:numPr>
        <w:spacing w:after="0" w:line="240" w:lineRule="auto"/>
        <w:jc w:val="both"/>
        <w:rPr>
          <w:szCs w:val="24"/>
        </w:rPr>
      </w:pPr>
      <w:r>
        <w:rPr>
          <w:szCs w:val="24"/>
        </w:rPr>
        <w:t>Some lands are vested in Ministries and Departments</w:t>
      </w:r>
      <w:r w:rsidRPr="00AF4B68">
        <w:rPr>
          <w:szCs w:val="24"/>
        </w:rPr>
        <w:t xml:space="preserve"> for project implementation. However, due to lack of proper follow up by the Mini</w:t>
      </w:r>
      <w:r>
        <w:rPr>
          <w:szCs w:val="24"/>
        </w:rPr>
        <w:t>stry, it</w:t>
      </w:r>
      <w:r w:rsidRPr="00AF4B68">
        <w:rPr>
          <w:szCs w:val="24"/>
        </w:rPr>
        <w:t xml:space="preserve"> could not</w:t>
      </w:r>
      <w:r>
        <w:rPr>
          <w:szCs w:val="24"/>
        </w:rPr>
        <w:t xml:space="preserve"> be</w:t>
      </w:r>
      <w:r w:rsidRPr="00AF4B68">
        <w:rPr>
          <w:szCs w:val="24"/>
        </w:rPr>
        <w:t xml:space="preserve"> ascertain</w:t>
      </w:r>
      <w:r>
        <w:rPr>
          <w:szCs w:val="24"/>
        </w:rPr>
        <w:t>ed</w:t>
      </w:r>
      <w:r w:rsidRPr="00AF4B68">
        <w:rPr>
          <w:szCs w:val="24"/>
        </w:rPr>
        <w:t xml:space="preserve"> if the lands vested</w:t>
      </w:r>
      <w:r>
        <w:rPr>
          <w:szCs w:val="24"/>
        </w:rPr>
        <w:t>,</w:t>
      </w:r>
      <w:r w:rsidRPr="00AF4B68">
        <w:rPr>
          <w:szCs w:val="24"/>
        </w:rPr>
        <w:t xml:space="preserve"> were being used for the intended purposes</w:t>
      </w:r>
      <w:r>
        <w:rPr>
          <w:szCs w:val="24"/>
        </w:rPr>
        <w:t>;</w:t>
      </w:r>
      <w:r w:rsidRPr="00AF4B68">
        <w:rPr>
          <w:szCs w:val="24"/>
        </w:rPr>
        <w:t xml:space="preserve"> </w:t>
      </w:r>
    </w:p>
    <w:p w:rsidR="00CF46B4" w:rsidRDefault="00CF46B4" w:rsidP="00CF46B4">
      <w:pPr>
        <w:spacing w:after="0" w:line="240" w:lineRule="auto"/>
        <w:ind w:left="360"/>
        <w:jc w:val="both"/>
        <w:rPr>
          <w:szCs w:val="24"/>
        </w:rPr>
      </w:pPr>
    </w:p>
    <w:p w:rsidR="00CF46B4" w:rsidRDefault="00CF46B4" w:rsidP="00CF46B4">
      <w:pPr>
        <w:pStyle w:val="ListParagraph"/>
        <w:numPr>
          <w:ilvl w:val="0"/>
          <w:numId w:val="1"/>
        </w:numPr>
        <w:spacing w:after="0" w:line="240" w:lineRule="auto"/>
        <w:jc w:val="both"/>
        <w:rPr>
          <w:szCs w:val="24"/>
        </w:rPr>
      </w:pPr>
      <w:r w:rsidRPr="001C0EEF">
        <w:rPr>
          <w:szCs w:val="24"/>
        </w:rPr>
        <w:t>The exte</w:t>
      </w:r>
      <w:r w:rsidR="00CF5CC4">
        <w:rPr>
          <w:szCs w:val="24"/>
        </w:rPr>
        <w:t>nt of State Land not yet leased</w:t>
      </w:r>
      <w:r w:rsidRPr="001C0EEF">
        <w:rPr>
          <w:szCs w:val="24"/>
        </w:rPr>
        <w:t xml:space="preserve"> was not available. </w:t>
      </w:r>
    </w:p>
    <w:p w:rsidR="00CF46B4" w:rsidRDefault="00CF46B4" w:rsidP="00CF46B4">
      <w:pPr>
        <w:spacing w:after="0" w:line="240" w:lineRule="auto"/>
        <w:jc w:val="both"/>
        <w:rPr>
          <w:i/>
          <w:szCs w:val="24"/>
        </w:rPr>
      </w:pPr>
    </w:p>
    <w:p w:rsidR="00CF46B4" w:rsidRPr="00A97204" w:rsidRDefault="00CF46B4" w:rsidP="00CF46B4">
      <w:pPr>
        <w:spacing w:after="0" w:line="240" w:lineRule="auto"/>
        <w:jc w:val="both"/>
        <w:rPr>
          <w:b/>
          <w:i/>
          <w:szCs w:val="24"/>
        </w:rPr>
      </w:pPr>
      <w:r w:rsidRPr="00A97204">
        <w:rPr>
          <w:b/>
          <w:i/>
          <w:szCs w:val="24"/>
        </w:rPr>
        <w:t>Ministry’s Reply</w:t>
      </w:r>
    </w:p>
    <w:p w:rsidR="00CF46B4" w:rsidRDefault="00CF46B4" w:rsidP="00CF46B4">
      <w:pPr>
        <w:spacing w:after="0" w:line="240" w:lineRule="auto"/>
        <w:jc w:val="both"/>
        <w:rPr>
          <w:i/>
          <w:szCs w:val="24"/>
        </w:rPr>
      </w:pPr>
    </w:p>
    <w:p w:rsidR="00CF46B4" w:rsidRDefault="00CF46B4" w:rsidP="00CF46B4">
      <w:pPr>
        <w:spacing w:after="0" w:line="240" w:lineRule="auto"/>
        <w:jc w:val="both"/>
        <w:rPr>
          <w:szCs w:val="24"/>
        </w:rPr>
      </w:pPr>
      <w:r w:rsidRPr="00483FCB">
        <w:rPr>
          <w:szCs w:val="24"/>
        </w:rPr>
        <w:t xml:space="preserve">The Ministry is in the process of setting up a State Land Register (SLR) which would include a module for land acquisition. </w:t>
      </w:r>
    </w:p>
    <w:p w:rsidR="00CF46B4" w:rsidRDefault="00CF46B4" w:rsidP="00CF46B4">
      <w:pPr>
        <w:spacing w:after="0" w:line="240" w:lineRule="auto"/>
        <w:jc w:val="both"/>
        <w:rPr>
          <w:szCs w:val="24"/>
        </w:rPr>
      </w:pPr>
    </w:p>
    <w:p w:rsidR="00AD08B6" w:rsidRPr="00483FCB" w:rsidRDefault="00AD08B6" w:rsidP="00CF46B4">
      <w:pPr>
        <w:spacing w:after="0" w:line="240" w:lineRule="auto"/>
        <w:jc w:val="both"/>
        <w:rPr>
          <w:szCs w:val="24"/>
        </w:rPr>
      </w:pPr>
    </w:p>
    <w:p w:rsidR="00CF46B4" w:rsidRPr="00AF4B68" w:rsidRDefault="00CF46B4" w:rsidP="00CF46B4">
      <w:pPr>
        <w:spacing w:after="0" w:line="240" w:lineRule="auto"/>
        <w:jc w:val="both"/>
        <w:rPr>
          <w:b/>
          <w:szCs w:val="24"/>
        </w:rPr>
      </w:pPr>
      <w:r>
        <w:rPr>
          <w:b/>
          <w:szCs w:val="24"/>
        </w:rPr>
        <w:t>4.2</w:t>
      </w:r>
      <w:r>
        <w:rPr>
          <w:b/>
          <w:szCs w:val="24"/>
        </w:rPr>
        <w:tab/>
      </w:r>
      <w:r w:rsidRPr="00AF4B68">
        <w:rPr>
          <w:b/>
          <w:szCs w:val="24"/>
        </w:rPr>
        <w:t xml:space="preserve">Lands Vested </w:t>
      </w:r>
      <w:r>
        <w:rPr>
          <w:b/>
          <w:szCs w:val="24"/>
        </w:rPr>
        <w:t>in Ministries and Departments</w:t>
      </w:r>
    </w:p>
    <w:p w:rsidR="00CF46B4" w:rsidRDefault="00CF46B4" w:rsidP="00CF46B4">
      <w:pPr>
        <w:spacing w:after="0" w:line="240" w:lineRule="auto"/>
        <w:jc w:val="both"/>
        <w:rPr>
          <w:szCs w:val="24"/>
        </w:rPr>
      </w:pPr>
    </w:p>
    <w:p w:rsidR="00CF46B4" w:rsidRDefault="00CF46B4" w:rsidP="00CF46B4">
      <w:pPr>
        <w:spacing w:after="0" w:line="240" w:lineRule="auto"/>
        <w:jc w:val="both"/>
        <w:rPr>
          <w:szCs w:val="24"/>
        </w:rPr>
      </w:pPr>
      <w:r w:rsidRPr="00AF4B68">
        <w:rPr>
          <w:szCs w:val="24"/>
        </w:rPr>
        <w:t>S</w:t>
      </w:r>
      <w:r w:rsidR="00CF5CC4">
        <w:rPr>
          <w:szCs w:val="24"/>
        </w:rPr>
        <w:t>ince 2007-08, my Office has been making</w:t>
      </w:r>
      <w:r w:rsidRPr="00AF4B68">
        <w:rPr>
          <w:szCs w:val="24"/>
        </w:rPr>
        <w:t xml:space="preserve"> regular adverse comments on lands vested</w:t>
      </w:r>
      <w:r>
        <w:rPr>
          <w:szCs w:val="24"/>
        </w:rPr>
        <w:t xml:space="preserve"> in Ministries and Departments</w:t>
      </w:r>
      <w:r w:rsidRPr="00AF4B68">
        <w:rPr>
          <w:szCs w:val="24"/>
        </w:rPr>
        <w:t>. As of June 2017, there were 197.</w:t>
      </w:r>
      <w:r>
        <w:rPr>
          <w:szCs w:val="24"/>
        </w:rPr>
        <w:t>2</w:t>
      </w:r>
      <w:r w:rsidRPr="00AF4B68">
        <w:rPr>
          <w:szCs w:val="24"/>
        </w:rPr>
        <w:t xml:space="preserve"> </w:t>
      </w:r>
      <w:proofErr w:type="spellStart"/>
      <w:r w:rsidRPr="00AF4B68">
        <w:rPr>
          <w:szCs w:val="24"/>
        </w:rPr>
        <w:t>Arpents</w:t>
      </w:r>
      <w:proofErr w:type="spellEnd"/>
      <w:r w:rsidR="00CF5CC4">
        <w:rPr>
          <w:szCs w:val="24"/>
        </w:rPr>
        <w:t xml:space="preserve"> (A)</w:t>
      </w:r>
      <w:r w:rsidRPr="00AF4B68">
        <w:rPr>
          <w:szCs w:val="24"/>
        </w:rPr>
        <w:t xml:space="preserve"> </w:t>
      </w:r>
      <w:r>
        <w:rPr>
          <w:szCs w:val="24"/>
        </w:rPr>
        <w:t xml:space="preserve">of </w:t>
      </w:r>
      <w:r w:rsidRPr="00AF4B68">
        <w:rPr>
          <w:szCs w:val="24"/>
        </w:rPr>
        <w:t xml:space="preserve">vested land </w:t>
      </w:r>
      <w:r>
        <w:rPr>
          <w:szCs w:val="24"/>
        </w:rPr>
        <w:t xml:space="preserve">for 85 projects </w:t>
      </w:r>
      <w:r w:rsidRPr="00AF4B68">
        <w:rPr>
          <w:szCs w:val="24"/>
        </w:rPr>
        <w:t xml:space="preserve">in addition to </w:t>
      </w:r>
      <w:r w:rsidR="00CF5CC4">
        <w:rPr>
          <w:szCs w:val="24"/>
        </w:rPr>
        <w:t>a plot of land of 334.74A</w:t>
      </w:r>
      <w:r w:rsidRPr="00AF4B68">
        <w:rPr>
          <w:szCs w:val="24"/>
        </w:rPr>
        <w:t xml:space="preserve"> earmarked for the </w:t>
      </w:r>
      <w:proofErr w:type="spellStart"/>
      <w:r w:rsidRPr="00AF4B68">
        <w:rPr>
          <w:szCs w:val="24"/>
        </w:rPr>
        <w:t>Riviere</w:t>
      </w:r>
      <w:proofErr w:type="spellEnd"/>
      <w:r w:rsidRPr="00AF4B68">
        <w:rPr>
          <w:szCs w:val="24"/>
        </w:rPr>
        <w:t xml:space="preserve"> des </w:t>
      </w:r>
      <w:proofErr w:type="spellStart"/>
      <w:r w:rsidRPr="00AF4B68">
        <w:rPr>
          <w:szCs w:val="24"/>
        </w:rPr>
        <w:t>Anguilles</w:t>
      </w:r>
      <w:proofErr w:type="spellEnd"/>
      <w:r w:rsidRPr="00AF4B68">
        <w:rPr>
          <w:szCs w:val="24"/>
        </w:rPr>
        <w:t xml:space="preserve"> Dam project.</w:t>
      </w:r>
    </w:p>
    <w:p w:rsidR="00CF46B4" w:rsidRPr="00AF4B68" w:rsidRDefault="00CF46B4" w:rsidP="00CF46B4">
      <w:pPr>
        <w:spacing w:after="0" w:line="240" w:lineRule="auto"/>
        <w:jc w:val="both"/>
        <w:rPr>
          <w:szCs w:val="24"/>
        </w:rPr>
      </w:pPr>
    </w:p>
    <w:p w:rsidR="00CF46B4" w:rsidRDefault="00CF46B4" w:rsidP="00CF46B4">
      <w:pPr>
        <w:spacing w:after="0" w:line="240" w:lineRule="auto"/>
        <w:jc w:val="both"/>
        <w:rPr>
          <w:szCs w:val="24"/>
        </w:rPr>
      </w:pPr>
      <w:r>
        <w:rPr>
          <w:szCs w:val="24"/>
        </w:rPr>
        <w:t>13</w:t>
      </w:r>
      <w:r w:rsidRPr="00AF4B68">
        <w:rPr>
          <w:szCs w:val="24"/>
        </w:rPr>
        <w:t xml:space="preserve"> Ministries/Departments were </w:t>
      </w:r>
      <w:r>
        <w:rPr>
          <w:szCs w:val="24"/>
        </w:rPr>
        <w:t>allocated</w:t>
      </w:r>
      <w:r w:rsidRPr="00AF4B68">
        <w:rPr>
          <w:szCs w:val="24"/>
        </w:rPr>
        <w:t xml:space="preserve"> lands for some </w:t>
      </w:r>
      <w:r>
        <w:rPr>
          <w:szCs w:val="24"/>
        </w:rPr>
        <w:t xml:space="preserve">specific </w:t>
      </w:r>
      <w:r w:rsidRPr="00AF4B68">
        <w:rPr>
          <w:szCs w:val="24"/>
        </w:rPr>
        <w:t>projects. However, the projects have not been implemented. The vested lands have</w:t>
      </w:r>
      <w:r>
        <w:rPr>
          <w:szCs w:val="24"/>
        </w:rPr>
        <w:t>,</w:t>
      </w:r>
      <w:r w:rsidRPr="00AF4B68">
        <w:rPr>
          <w:szCs w:val="24"/>
        </w:rPr>
        <w:t xml:space="preserve"> thus</w:t>
      </w:r>
      <w:r>
        <w:rPr>
          <w:szCs w:val="24"/>
        </w:rPr>
        <w:t>,</w:t>
      </w:r>
      <w:r w:rsidRPr="00AF4B68">
        <w:rPr>
          <w:szCs w:val="24"/>
        </w:rPr>
        <w:t xml:space="preserve"> remained idle</w:t>
      </w:r>
      <w:r w:rsidR="00CF5CC4">
        <w:rPr>
          <w:szCs w:val="24"/>
        </w:rPr>
        <w:t xml:space="preserve"> and some even for more than 10</w:t>
      </w:r>
      <w:r w:rsidRPr="00AF4B68">
        <w:rPr>
          <w:szCs w:val="24"/>
        </w:rPr>
        <w:t xml:space="preserve"> years</w:t>
      </w:r>
      <w:r>
        <w:rPr>
          <w:szCs w:val="24"/>
        </w:rPr>
        <w:t>, as shown in T</w:t>
      </w:r>
      <w:r w:rsidRPr="00AF4B68">
        <w:rPr>
          <w:szCs w:val="24"/>
        </w:rPr>
        <w:t>able</w:t>
      </w:r>
      <w:r>
        <w:rPr>
          <w:szCs w:val="24"/>
        </w:rPr>
        <w:t xml:space="preserve"> 4-1</w:t>
      </w:r>
      <w:r w:rsidR="00A97204">
        <w:rPr>
          <w:szCs w:val="24"/>
        </w:rPr>
        <w:t>.</w:t>
      </w:r>
      <w:r w:rsidRPr="00AF4B68">
        <w:rPr>
          <w:szCs w:val="24"/>
        </w:rPr>
        <w:t xml:space="preserve"> </w:t>
      </w:r>
    </w:p>
    <w:p w:rsidR="00CF46B4" w:rsidRDefault="00CF46B4">
      <w:pPr>
        <w:rPr>
          <w:szCs w:val="24"/>
        </w:rPr>
      </w:pPr>
      <w:r>
        <w:rPr>
          <w:szCs w:val="24"/>
        </w:rPr>
        <w:br w:type="page"/>
      </w:r>
    </w:p>
    <w:p w:rsidR="00CF46B4" w:rsidRDefault="00CF46B4" w:rsidP="00CF46B4">
      <w:pPr>
        <w:pStyle w:val="ListParagraph"/>
        <w:spacing w:after="0" w:line="240" w:lineRule="auto"/>
        <w:jc w:val="center"/>
        <w:rPr>
          <w:i/>
          <w:szCs w:val="24"/>
        </w:rPr>
      </w:pPr>
      <w:r w:rsidRPr="008935DF">
        <w:rPr>
          <w:i/>
          <w:szCs w:val="24"/>
        </w:rPr>
        <w:lastRenderedPageBreak/>
        <w:t xml:space="preserve">Table </w:t>
      </w:r>
      <w:bookmarkStart w:id="1" w:name="_Hlk507248852"/>
      <w:r>
        <w:rPr>
          <w:i/>
          <w:szCs w:val="24"/>
        </w:rPr>
        <w:t>4-</w:t>
      </w:r>
      <w:proofErr w:type="gramStart"/>
      <w:r>
        <w:rPr>
          <w:i/>
          <w:szCs w:val="24"/>
        </w:rPr>
        <w:t>1</w:t>
      </w:r>
      <w:r w:rsidR="00A97204">
        <w:rPr>
          <w:i/>
          <w:szCs w:val="24"/>
        </w:rPr>
        <w:t xml:space="preserve">  </w:t>
      </w:r>
      <w:r w:rsidRPr="008935DF">
        <w:rPr>
          <w:i/>
          <w:szCs w:val="24"/>
        </w:rPr>
        <w:t>Age</w:t>
      </w:r>
      <w:proofErr w:type="gramEnd"/>
      <w:r w:rsidRPr="008935DF">
        <w:rPr>
          <w:i/>
          <w:szCs w:val="24"/>
        </w:rPr>
        <w:t xml:space="preserve"> Analysis of Land Vested</w:t>
      </w:r>
    </w:p>
    <w:p w:rsidR="00CF46B4" w:rsidRDefault="00CF46B4" w:rsidP="00CF46B4">
      <w:pPr>
        <w:spacing w:after="0" w:line="240" w:lineRule="auto"/>
        <w:rPr>
          <w:i/>
          <w:szCs w:val="24"/>
        </w:rPr>
      </w:pPr>
    </w:p>
    <w:bookmarkEnd w:id="1"/>
    <w:p w:rsidR="00A97204" w:rsidRPr="00483FCB" w:rsidRDefault="00A97204" w:rsidP="00A97204">
      <w:pPr>
        <w:pBdr>
          <w:top w:val="single" w:sz="4" w:space="1" w:color="auto"/>
        </w:pBdr>
        <w:spacing w:after="0" w:line="240" w:lineRule="auto"/>
        <w:rPr>
          <w:i/>
          <w:szCs w:val="24"/>
        </w:rPr>
      </w:pPr>
    </w:p>
    <w:tbl>
      <w:tblPr>
        <w:tblW w:w="6312" w:type="dxa"/>
        <w:jc w:val="center"/>
        <w:tblLook w:val="04A0" w:firstRow="1" w:lastRow="0" w:firstColumn="1" w:lastColumn="0" w:noHBand="0" w:noVBand="1"/>
      </w:tblPr>
      <w:tblGrid>
        <w:gridCol w:w="1670"/>
        <w:gridCol w:w="1111"/>
        <w:gridCol w:w="1404"/>
        <w:gridCol w:w="2127"/>
      </w:tblGrid>
      <w:tr w:rsidR="00CF46B4" w:rsidRPr="00AF4B68" w:rsidTr="00414332">
        <w:trPr>
          <w:trHeight w:hRule="exact" w:val="657"/>
          <w:jc w:val="center"/>
        </w:trPr>
        <w:tc>
          <w:tcPr>
            <w:tcW w:w="1670" w:type="dxa"/>
            <w:tcMar>
              <w:bottom w:w="142" w:type="dxa"/>
            </w:tcMar>
          </w:tcPr>
          <w:p w:rsidR="00CF46B4" w:rsidRPr="00AF4B68" w:rsidRDefault="00CF46B4" w:rsidP="006E2489">
            <w:pPr>
              <w:spacing w:before="40" w:after="40" w:line="240" w:lineRule="auto"/>
              <w:rPr>
                <w:b/>
                <w:szCs w:val="24"/>
              </w:rPr>
            </w:pPr>
            <w:r>
              <w:rPr>
                <w:b/>
                <w:szCs w:val="24"/>
              </w:rPr>
              <w:t>No of Years</w:t>
            </w:r>
            <w:r w:rsidR="00E43BEE">
              <w:rPr>
                <w:b/>
                <w:szCs w:val="24"/>
              </w:rPr>
              <w:t xml:space="preserve"> </w:t>
            </w:r>
            <w:r>
              <w:rPr>
                <w:b/>
                <w:szCs w:val="24"/>
              </w:rPr>
              <w:t>since Vested</w:t>
            </w:r>
          </w:p>
        </w:tc>
        <w:tc>
          <w:tcPr>
            <w:tcW w:w="1111" w:type="dxa"/>
            <w:tcMar>
              <w:bottom w:w="142" w:type="dxa"/>
            </w:tcMar>
          </w:tcPr>
          <w:p w:rsidR="00CF46B4" w:rsidRPr="00AF4B68" w:rsidRDefault="00CF46B4" w:rsidP="00CF46B4">
            <w:pPr>
              <w:spacing w:before="40" w:after="40" w:line="240" w:lineRule="auto"/>
              <w:jc w:val="center"/>
              <w:rPr>
                <w:b/>
                <w:szCs w:val="24"/>
              </w:rPr>
            </w:pPr>
            <w:proofErr w:type="spellStart"/>
            <w:r w:rsidRPr="00AF4B68">
              <w:rPr>
                <w:b/>
                <w:szCs w:val="24"/>
              </w:rPr>
              <w:t>Arpents</w:t>
            </w:r>
            <w:proofErr w:type="spellEnd"/>
            <w:r w:rsidRPr="00AF4B68">
              <w:rPr>
                <w:b/>
                <w:szCs w:val="24"/>
              </w:rPr>
              <w:t xml:space="preserve"> (A)</w:t>
            </w:r>
          </w:p>
        </w:tc>
        <w:tc>
          <w:tcPr>
            <w:tcW w:w="1404" w:type="dxa"/>
            <w:tcMar>
              <w:bottom w:w="142" w:type="dxa"/>
            </w:tcMar>
          </w:tcPr>
          <w:p w:rsidR="00CF46B4" w:rsidRPr="00AF4B68" w:rsidRDefault="00CF46B4" w:rsidP="00CF46B4">
            <w:pPr>
              <w:spacing w:before="40" w:after="40" w:line="240" w:lineRule="auto"/>
              <w:jc w:val="center"/>
              <w:rPr>
                <w:b/>
                <w:szCs w:val="24"/>
              </w:rPr>
            </w:pPr>
            <w:r w:rsidRPr="00AF4B68">
              <w:rPr>
                <w:b/>
                <w:szCs w:val="24"/>
              </w:rPr>
              <w:t>No. of Projects</w:t>
            </w:r>
          </w:p>
        </w:tc>
        <w:tc>
          <w:tcPr>
            <w:tcW w:w="2127" w:type="dxa"/>
            <w:tcMar>
              <w:bottom w:w="142" w:type="dxa"/>
            </w:tcMar>
          </w:tcPr>
          <w:p w:rsidR="00CF46B4" w:rsidRPr="00AF4B68" w:rsidRDefault="0035601E" w:rsidP="00CF46B4">
            <w:pPr>
              <w:spacing w:before="40" w:after="40" w:line="240" w:lineRule="auto"/>
              <w:jc w:val="center"/>
              <w:rPr>
                <w:b/>
                <w:szCs w:val="24"/>
              </w:rPr>
            </w:pPr>
            <w:r>
              <w:rPr>
                <w:b/>
                <w:szCs w:val="24"/>
              </w:rPr>
              <w:t>No. o</w:t>
            </w:r>
            <w:r w:rsidR="00CF46B4" w:rsidRPr="00AF4B68">
              <w:rPr>
                <w:b/>
                <w:szCs w:val="24"/>
              </w:rPr>
              <w:t>f Ministries</w:t>
            </w:r>
            <w:r w:rsidR="00CF46B4">
              <w:rPr>
                <w:b/>
                <w:szCs w:val="24"/>
              </w:rPr>
              <w:t>/</w:t>
            </w:r>
            <w:proofErr w:type="spellStart"/>
            <w:r w:rsidR="00CF46B4">
              <w:rPr>
                <w:b/>
                <w:szCs w:val="24"/>
              </w:rPr>
              <w:t>Depts</w:t>
            </w:r>
            <w:proofErr w:type="spellEnd"/>
          </w:p>
        </w:tc>
      </w:tr>
      <w:tr w:rsidR="00CF46B4" w:rsidRPr="00AF4B68" w:rsidTr="006E2489">
        <w:trPr>
          <w:trHeight w:val="20"/>
          <w:jc w:val="center"/>
        </w:trPr>
        <w:tc>
          <w:tcPr>
            <w:tcW w:w="1670" w:type="dxa"/>
            <w:tcMar>
              <w:bottom w:w="142" w:type="dxa"/>
            </w:tcMar>
          </w:tcPr>
          <w:p w:rsidR="00CF46B4" w:rsidRPr="00AF4B68" w:rsidRDefault="00CF46B4" w:rsidP="006E2489">
            <w:pPr>
              <w:tabs>
                <w:tab w:val="left" w:pos="932"/>
              </w:tabs>
              <w:spacing w:before="40" w:after="40" w:line="240" w:lineRule="auto"/>
              <w:ind w:right="370"/>
              <w:rPr>
                <w:szCs w:val="24"/>
              </w:rPr>
            </w:pPr>
            <w:r w:rsidRPr="00AF4B68">
              <w:rPr>
                <w:szCs w:val="24"/>
              </w:rPr>
              <w:t>1 to 2</w:t>
            </w:r>
          </w:p>
        </w:tc>
        <w:tc>
          <w:tcPr>
            <w:tcW w:w="1111" w:type="dxa"/>
            <w:tcMar>
              <w:bottom w:w="142" w:type="dxa"/>
            </w:tcMar>
          </w:tcPr>
          <w:p w:rsidR="00CF46B4" w:rsidRPr="00AF4B68" w:rsidRDefault="00CF46B4" w:rsidP="00CF46B4">
            <w:pPr>
              <w:tabs>
                <w:tab w:val="left" w:pos="722"/>
              </w:tabs>
              <w:spacing w:before="40" w:after="40" w:line="240" w:lineRule="auto"/>
              <w:ind w:right="75"/>
              <w:jc w:val="right"/>
              <w:rPr>
                <w:szCs w:val="24"/>
              </w:rPr>
            </w:pPr>
            <w:r w:rsidRPr="00AF4B68">
              <w:rPr>
                <w:szCs w:val="24"/>
              </w:rPr>
              <w:t>14.09</w:t>
            </w:r>
          </w:p>
        </w:tc>
        <w:tc>
          <w:tcPr>
            <w:tcW w:w="1404" w:type="dxa"/>
            <w:tcMar>
              <w:bottom w:w="142" w:type="dxa"/>
            </w:tcMar>
          </w:tcPr>
          <w:p w:rsidR="00CF46B4" w:rsidRPr="00AF4B68" w:rsidRDefault="00CF46B4" w:rsidP="006E2489">
            <w:pPr>
              <w:spacing w:before="40" w:after="40" w:line="240" w:lineRule="auto"/>
              <w:ind w:right="368"/>
              <w:jc w:val="right"/>
              <w:rPr>
                <w:szCs w:val="24"/>
              </w:rPr>
            </w:pPr>
            <w:r w:rsidRPr="00AF4B68">
              <w:rPr>
                <w:szCs w:val="24"/>
              </w:rPr>
              <w:t>7</w:t>
            </w:r>
          </w:p>
        </w:tc>
        <w:tc>
          <w:tcPr>
            <w:tcW w:w="2127" w:type="dxa"/>
            <w:tcMar>
              <w:bottom w:w="142" w:type="dxa"/>
            </w:tcMar>
          </w:tcPr>
          <w:p w:rsidR="00CF46B4" w:rsidRPr="00AF4B68" w:rsidRDefault="00CF46B4" w:rsidP="006E2489">
            <w:pPr>
              <w:spacing w:before="40" w:after="40" w:line="240" w:lineRule="auto"/>
              <w:ind w:right="885"/>
              <w:jc w:val="right"/>
              <w:rPr>
                <w:szCs w:val="24"/>
              </w:rPr>
            </w:pPr>
            <w:r w:rsidRPr="00AF4B68">
              <w:rPr>
                <w:szCs w:val="24"/>
              </w:rPr>
              <w:t>4</w:t>
            </w:r>
          </w:p>
        </w:tc>
      </w:tr>
      <w:tr w:rsidR="00CF46B4" w:rsidRPr="00AF4B68" w:rsidTr="006E2489">
        <w:trPr>
          <w:trHeight w:val="20"/>
          <w:jc w:val="center"/>
        </w:trPr>
        <w:tc>
          <w:tcPr>
            <w:tcW w:w="1670" w:type="dxa"/>
            <w:tcMar>
              <w:bottom w:w="142" w:type="dxa"/>
            </w:tcMar>
          </w:tcPr>
          <w:p w:rsidR="00CF46B4" w:rsidRPr="00AF4B68" w:rsidRDefault="00CF46B4" w:rsidP="006E2489">
            <w:pPr>
              <w:tabs>
                <w:tab w:val="left" w:pos="932"/>
              </w:tabs>
              <w:spacing w:before="40" w:after="40" w:line="240" w:lineRule="auto"/>
              <w:ind w:right="370"/>
              <w:rPr>
                <w:szCs w:val="24"/>
              </w:rPr>
            </w:pPr>
            <w:r w:rsidRPr="00AF4B68">
              <w:rPr>
                <w:szCs w:val="24"/>
              </w:rPr>
              <w:t>3-4 *</w:t>
            </w:r>
          </w:p>
        </w:tc>
        <w:tc>
          <w:tcPr>
            <w:tcW w:w="1111" w:type="dxa"/>
            <w:tcMar>
              <w:bottom w:w="142" w:type="dxa"/>
            </w:tcMar>
          </w:tcPr>
          <w:p w:rsidR="00CF46B4" w:rsidRPr="00AF4B68" w:rsidRDefault="00CF46B4" w:rsidP="00CF46B4">
            <w:pPr>
              <w:tabs>
                <w:tab w:val="left" w:pos="722"/>
              </w:tabs>
              <w:spacing w:before="40" w:after="40" w:line="240" w:lineRule="auto"/>
              <w:ind w:right="75"/>
              <w:jc w:val="right"/>
              <w:rPr>
                <w:szCs w:val="24"/>
              </w:rPr>
            </w:pPr>
            <w:r w:rsidRPr="00AF4B68">
              <w:rPr>
                <w:szCs w:val="24"/>
              </w:rPr>
              <w:t>384.85</w:t>
            </w:r>
          </w:p>
        </w:tc>
        <w:tc>
          <w:tcPr>
            <w:tcW w:w="1404" w:type="dxa"/>
            <w:tcMar>
              <w:bottom w:w="142" w:type="dxa"/>
            </w:tcMar>
          </w:tcPr>
          <w:p w:rsidR="00CF46B4" w:rsidRPr="00AF4B68" w:rsidRDefault="00CF46B4" w:rsidP="006E2489">
            <w:pPr>
              <w:spacing w:before="40" w:after="40" w:line="240" w:lineRule="auto"/>
              <w:ind w:right="368"/>
              <w:jc w:val="right"/>
              <w:rPr>
                <w:szCs w:val="24"/>
              </w:rPr>
            </w:pPr>
            <w:r>
              <w:rPr>
                <w:szCs w:val="24"/>
              </w:rPr>
              <w:t>26</w:t>
            </w:r>
          </w:p>
        </w:tc>
        <w:tc>
          <w:tcPr>
            <w:tcW w:w="2127" w:type="dxa"/>
            <w:tcMar>
              <w:bottom w:w="142" w:type="dxa"/>
            </w:tcMar>
          </w:tcPr>
          <w:p w:rsidR="00CF46B4" w:rsidRPr="00AF4B68" w:rsidRDefault="00CF46B4" w:rsidP="006E2489">
            <w:pPr>
              <w:spacing w:before="40" w:after="40" w:line="240" w:lineRule="auto"/>
              <w:ind w:right="885"/>
              <w:jc w:val="right"/>
              <w:rPr>
                <w:szCs w:val="24"/>
              </w:rPr>
            </w:pPr>
            <w:r w:rsidRPr="00AF4B68">
              <w:rPr>
                <w:szCs w:val="24"/>
              </w:rPr>
              <w:t>9</w:t>
            </w:r>
          </w:p>
        </w:tc>
      </w:tr>
      <w:tr w:rsidR="00A97204" w:rsidRPr="00AF4B68" w:rsidTr="006E2489">
        <w:trPr>
          <w:trHeight w:val="20"/>
          <w:jc w:val="center"/>
        </w:trPr>
        <w:tc>
          <w:tcPr>
            <w:tcW w:w="1670" w:type="dxa"/>
            <w:tcMar>
              <w:bottom w:w="142" w:type="dxa"/>
            </w:tcMar>
          </w:tcPr>
          <w:p w:rsidR="00A97204" w:rsidRPr="00AF4B68" w:rsidRDefault="00A97204" w:rsidP="006E2489">
            <w:pPr>
              <w:tabs>
                <w:tab w:val="left" w:pos="932"/>
              </w:tabs>
              <w:spacing w:before="40" w:after="40" w:line="240" w:lineRule="auto"/>
              <w:ind w:right="370"/>
              <w:rPr>
                <w:szCs w:val="24"/>
              </w:rPr>
            </w:pPr>
            <w:r w:rsidRPr="00AF4B68">
              <w:rPr>
                <w:szCs w:val="24"/>
              </w:rPr>
              <w:t>5 -10</w:t>
            </w:r>
          </w:p>
        </w:tc>
        <w:tc>
          <w:tcPr>
            <w:tcW w:w="1111" w:type="dxa"/>
            <w:tcMar>
              <w:bottom w:w="142" w:type="dxa"/>
            </w:tcMar>
          </w:tcPr>
          <w:p w:rsidR="00A97204" w:rsidRPr="00AF4B68" w:rsidRDefault="00A97204" w:rsidP="00CF46B4">
            <w:pPr>
              <w:tabs>
                <w:tab w:val="left" w:pos="722"/>
              </w:tabs>
              <w:spacing w:before="40" w:after="40" w:line="240" w:lineRule="auto"/>
              <w:ind w:right="75"/>
              <w:jc w:val="right"/>
              <w:rPr>
                <w:szCs w:val="24"/>
              </w:rPr>
            </w:pPr>
            <w:r w:rsidRPr="00AF4B68">
              <w:rPr>
                <w:szCs w:val="24"/>
              </w:rPr>
              <w:t>56</w:t>
            </w:r>
            <w:r>
              <w:rPr>
                <w:szCs w:val="24"/>
              </w:rPr>
              <w:t>.00</w:t>
            </w:r>
          </w:p>
        </w:tc>
        <w:tc>
          <w:tcPr>
            <w:tcW w:w="1404" w:type="dxa"/>
            <w:tcMar>
              <w:bottom w:w="142" w:type="dxa"/>
            </w:tcMar>
          </w:tcPr>
          <w:p w:rsidR="00A97204" w:rsidRDefault="00A97204" w:rsidP="006E2489">
            <w:pPr>
              <w:spacing w:before="40" w:after="40" w:line="240" w:lineRule="auto"/>
              <w:ind w:right="368"/>
              <w:jc w:val="right"/>
              <w:rPr>
                <w:szCs w:val="24"/>
              </w:rPr>
            </w:pPr>
            <w:r w:rsidRPr="00AF4B68">
              <w:rPr>
                <w:szCs w:val="24"/>
              </w:rPr>
              <w:t>24</w:t>
            </w:r>
          </w:p>
        </w:tc>
        <w:tc>
          <w:tcPr>
            <w:tcW w:w="2127" w:type="dxa"/>
            <w:tcMar>
              <w:bottom w:w="142" w:type="dxa"/>
            </w:tcMar>
          </w:tcPr>
          <w:p w:rsidR="00A97204" w:rsidRPr="00AF4B68" w:rsidRDefault="00A97204" w:rsidP="006E2489">
            <w:pPr>
              <w:spacing w:before="40" w:after="40" w:line="240" w:lineRule="auto"/>
              <w:ind w:right="885"/>
              <w:jc w:val="right"/>
              <w:rPr>
                <w:szCs w:val="24"/>
              </w:rPr>
            </w:pPr>
            <w:r>
              <w:rPr>
                <w:szCs w:val="24"/>
              </w:rPr>
              <w:t>11</w:t>
            </w:r>
          </w:p>
        </w:tc>
      </w:tr>
      <w:tr w:rsidR="00A97204" w:rsidRPr="00AF4B68" w:rsidTr="006E2489">
        <w:trPr>
          <w:trHeight w:val="20"/>
          <w:jc w:val="center"/>
        </w:trPr>
        <w:tc>
          <w:tcPr>
            <w:tcW w:w="1670" w:type="dxa"/>
            <w:tcMar>
              <w:bottom w:w="142" w:type="dxa"/>
            </w:tcMar>
          </w:tcPr>
          <w:p w:rsidR="00A97204" w:rsidRPr="00AF4B68" w:rsidRDefault="00A97204" w:rsidP="006E2489">
            <w:pPr>
              <w:tabs>
                <w:tab w:val="left" w:pos="932"/>
              </w:tabs>
              <w:spacing w:before="40" w:after="40" w:line="240" w:lineRule="auto"/>
              <w:ind w:right="370"/>
              <w:rPr>
                <w:szCs w:val="24"/>
              </w:rPr>
            </w:pPr>
            <w:r>
              <w:rPr>
                <w:szCs w:val="24"/>
              </w:rPr>
              <w:t xml:space="preserve">Above </w:t>
            </w:r>
            <w:r w:rsidRPr="00AF4B68">
              <w:rPr>
                <w:szCs w:val="24"/>
              </w:rPr>
              <w:t>10</w:t>
            </w:r>
          </w:p>
        </w:tc>
        <w:tc>
          <w:tcPr>
            <w:tcW w:w="1111" w:type="dxa"/>
            <w:tcMar>
              <w:bottom w:w="142" w:type="dxa"/>
            </w:tcMar>
          </w:tcPr>
          <w:p w:rsidR="00A97204" w:rsidRPr="00AF4B68" w:rsidRDefault="00A97204" w:rsidP="00CF46B4">
            <w:pPr>
              <w:tabs>
                <w:tab w:val="left" w:pos="722"/>
              </w:tabs>
              <w:spacing w:before="40" w:after="40" w:line="240" w:lineRule="auto"/>
              <w:ind w:right="75"/>
              <w:jc w:val="right"/>
              <w:rPr>
                <w:szCs w:val="24"/>
              </w:rPr>
            </w:pPr>
            <w:r w:rsidRPr="00AF4B68">
              <w:rPr>
                <w:szCs w:val="24"/>
              </w:rPr>
              <w:t>77</w:t>
            </w:r>
            <w:r>
              <w:rPr>
                <w:szCs w:val="24"/>
              </w:rPr>
              <w:t>.00</w:t>
            </w:r>
          </w:p>
        </w:tc>
        <w:tc>
          <w:tcPr>
            <w:tcW w:w="1404" w:type="dxa"/>
            <w:tcMar>
              <w:bottom w:w="142" w:type="dxa"/>
            </w:tcMar>
          </w:tcPr>
          <w:p w:rsidR="00A97204" w:rsidRPr="00AF4B68" w:rsidRDefault="00A97204" w:rsidP="006E2489">
            <w:pPr>
              <w:spacing w:before="40" w:after="40" w:line="240" w:lineRule="auto"/>
              <w:ind w:right="368"/>
              <w:jc w:val="right"/>
              <w:rPr>
                <w:szCs w:val="24"/>
              </w:rPr>
            </w:pPr>
            <w:r w:rsidRPr="00AF4B68">
              <w:rPr>
                <w:szCs w:val="24"/>
              </w:rPr>
              <w:t>29</w:t>
            </w:r>
          </w:p>
        </w:tc>
        <w:tc>
          <w:tcPr>
            <w:tcW w:w="2127" w:type="dxa"/>
            <w:tcMar>
              <w:bottom w:w="142" w:type="dxa"/>
            </w:tcMar>
          </w:tcPr>
          <w:p w:rsidR="00A97204" w:rsidRDefault="00A97204" w:rsidP="006E2489">
            <w:pPr>
              <w:spacing w:before="40" w:after="40" w:line="240" w:lineRule="auto"/>
              <w:ind w:right="885"/>
              <w:jc w:val="right"/>
              <w:rPr>
                <w:szCs w:val="24"/>
              </w:rPr>
            </w:pPr>
            <w:r w:rsidRPr="00AF4B68">
              <w:rPr>
                <w:szCs w:val="24"/>
              </w:rPr>
              <w:t>12</w:t>
            </w:r>
          </w:p>
        </w:tc>
      </w:tr>
      <w:tr w:rsidR="00CF46B4" w:rsidRPr="00AF4B68" w:rsidTr="006E2489">
        <w:trPr>
          <w:trHeight w:hRule="exact" w:val="319"/>
          <w:jc w:val="center"/>
        </w:trPr>
        <w:tc>
          <w:tcPr>
            <w:tcW w:w="1670" w:type="dxa"/>
          </w:tcPr>
          <w:p w:rsidR="00CF46B4" w:rsidRPr="00AF4B68" w:rsidRDefault="00CF46B4" w:rsidP="006E2489">
            <w:pPr>
              <w:tabs>
                <w:tab w:val="left" w:pos="932"/>
              </w:tabs>
              <w:spacing w:before="40" w:after="40" w:line="240" w:lineRule="auto"/>
              <w:ind w:right="370"/>
              <w:rPr>
                <w:b/>
                <w:szCs w:val="24"/>
              </w:rPr>
            </w:pPr>
            <w:r w:rsidRPr="00AF4B68">
              <w:rPr>
                <w:b/>
                <w:szCs w:val="24"/>
              </w:rPr>
              <w:t>Total</w:t>
            </w:r>
          </w:p>
        </w:tc>
        <w:tc>
          <w:tcPr>
            <w:tcW w:w="1111" w:type="dxa"/>
          </w:tcPr>
          <w:p w:rsidR="00CF46B4" w:rsidRPr="00AF4B68" w:rsidRDefault="00CF46B4" w:rsidP="00CF46B4">
            <w:pPr>
              <w:tabs>
                <w:tab w:val="left" w:pos="722"/>
              </w:tabs>
              <w:spacing w:before="40" w:after="40" w:line="240" w:lineRule="auto"/>
              <w:ind w:right="75"/>
              <w:jc w:val="right"/>
              <w:rPr>
                <w:b/>
                <w:szCs w:val="24"/>
              </w:rPr>
            </w:pPr>
            <w:r w:rsidRPr="00AF4B68">
              <w:rPr>
                <w:b/>
                <w:szCs w:val="24"/>
              </w:rPr>
              <w:t>531.94</w:t>
            </w:r>
          </w:p>
        </w:tc>
        <w:tc>
          <w:tcPr>
            <w:tcW w:w="1404" w:type="dxa"/>
          </w:tcPr>
          <w:p w:rsidR="00CF46B4" w:rsidRPr="00AF4B68" w:rsidRDefault="00CF46B4" w:rsidP="006E2489">
            <w:pPr>
              <w:spacing w:before="40" w:after="40" w:line="240" w:lineRule="auto"/>
              <w:ind w:right="368"/>
              <w:jc w:val="right"/>
              <w:rPr>
                <w:b/>
                <w:szCs w:val="24"/>
              </w:rPr>
            </w:pPr>
            <w:r>
              <w:rPr>
                <w:b/>
                <w:szCs w:val="24"/>
              </w:rPr>
              <w:t>86</w:t>
            </w:r>
          </w:p>
        </w:tc>
        <w:tc>
          <w:tcPr>
            <w:tcW w:w="2127" w:type="dxa"/>
          </w:tcPr>
          <w:p w:rsidR="00CF46B4" w:rsidRPr="00AF4B68" w:rsidRDefault="00CF46B4" w:rsidP="006E2489">
            <w:pPr>
              <w:spacing w:before="40" w:after="40" w:line="240" w:lineRule="auto"/>
              <w:ind w:right="885"/>
              <w:jc w:val="right"/>
              <w:rPr>
                <w:szCs w:val="24"/>
              </w:rPr>
            </w:pPr>
          </w:p>
        </w:tc>
      </w:tr>
    </w:tbl>
    <w:p w:rsidR="00CF46B4" w:rsidRDefault="00CF46B4" w:rsidP="00A97204">
      <w:pPr>
        <w:pBdr>
          <w:bottom w:val="single" w:sz="4" w:space="1" w:color="auto"/>
        </w:pBdr>
        <w:spacing w:after="0" w:line="240" w:lineRule="auto"/>
        <w:rPr>
          <w:szCs w:val="24"/>
        </w:rPr>
      </w:pPr>
    </w:p>
    <w:p w:rsidR="00CF46B4" w:rsidRPr="005F6086" w:rsidRDefault="00CF46B4" w:rsidP="00CF46B4">
      <w:pPr>
        <w:spacing w:after="0" w:line="240" w:lineRule="auto"/>
        <w:rPr>
          <w:sz w:val="20"/>
          <w:szCs w:val="20"/>
        </w:rPr>
      </w:pPr>
      <w:r w:rsidRPr="005F6086">
        <w:rPr>
          <w:sz w:val="20"/>
          <w:szCs w:val="20"/>
        </w:rPr>
        <w:t>*</w:t>
      </w:r>
      <w:r w:rsidRPr="005F6086">
        <w:rPr>
          <w:i/>
          <w:sz w:val="20"/>
          <w:szCs w:val="20"/>
        </w:rPr>
        <w:t xml:space="preserve">Including </w:t>
      </w:r>
      <w:proofErr w:type="spellStart"/>
      <w:r w:rsidRPr="005F6086">
        <w:rPr>
          <w:i/>
          <w:sz w:val="20"/>
          <w:szCs w:val="20"/>
        </w:rPr>
        <w:t>Riviere</w:t>
      </w:r>
      <w:proofErr w:type="spellEnd"/>
      <w:r w:rsidRPr="005F6086">
        <w:rPr>
          <w:i/>
          <w:sz w:val="20"/>
          <w:szCs w:val="20"/>
        </w:rPr>
        <w:t xml:space="preserve"> des </w:t>
      </w:r>
      <w:proofErr w:type="spellStart"/>
      <w:r w:rsidRPr="005F6086">
        <w:rPr>
          <w:i/>
          <w:sz w:val="20"/>
          <w:szCs w:val="20"/>
        </w:rPr>
        <w:t>Anguilles</w:t>
      </w:r>
      <w:proofErr w:type="spellEnd"/>
      <w:r w:rsidRPr="005F6086">
        <w:rPr>
          <w:i/>
          <w:sz w:val="20"/>
          <w:szCs w:val="20"/>
        </w:rPr>
        <w:t xml:space="preserve"> Dam Project</w:t>
      </w:r>
    </w:p>
    <w:p w:rsidR="00AD08B6" w:rsidRPr="00AD08B6" w:rsidRDefault="00AD08B6" w:rsidP="00CF46B4">
      <w:pPr>
        <w:spacing w:after="0" w:line="240" w:lineRule="auto"/>
        <w:jc w:val="both"/>
        <w:rPr>
          <w:b/>
          <w:i/>
          <w:szCs w:val="24"/>
        </w:rPr>
      </w:pPr>
    </w:p>
    <w:p w:rsidR="00CF46B4" w:rsidRDefault="00CF46B4" w:rsidP="00CF46B4">
      <w:pPr>
        <w:spacing w:after="0" w:line="240" w:lineRule="auto"/>
        <w:jc w:val="both"/>
        <w:rPr>
          <w:szCs w:val="24"/>
        </w:rPr>
      </w:pPr>
      <w:r w:rsidRPr="00AF4B68">
        <w:rPr>
          <w:szCs w:val="24"/>
        </w:rPr>
        <w:t xml:space="preserve">In August 2017, the Ministry </w:t>
      </w:r>
      <w:r>
        <w:rPr>
          <w:szCs w:val="24"/>
        </w:rPr>
        <w:t xml:space="preserve">of Housing and Lands </w:t>
      </w:r>
      <w:r w:rsidR="00CF5CC4">
        <w:rPr>
          <w:szCs w:val="24"/>
        </w:rPr>
        <w:t xml:space="preserve">(MHL) </w:t>
      </w:r>
      <w:r w:rsidRPr="00AF4B68">
        <w:rPr>
          <w:szCs w:val="24"/>
        </w:rPr>
        <w:t>requested</w:t>
      </w:r>
      <w:r>
        <w:rPr>
          <w:szCs w:val="24"/>
        </w:rPr>
        <w:t xml:space="preserve"> </w:t>
      </w:r>
      <w:r w:rsidRPr="00AF4B68">
        <w:rPr>
          <w:szCs w:val="24"/>
        </w:rPr>
        <w:t>the Ministries/Departments to confirm whether the projects for which the lands were vested w</w:t>
      </w:r>
      <w:r>
        <w:rPr>
          <w:szCs w:val="24"/>
        </w:rPr>
        <w:t>ould</w:t>
      </w:r>
      <w:r w:rsidRPr="00AF4B68">
        <w:rPr>
          <w:szCs w:val="24"/>
        </w:rPr>
        <w:t xml:space="preserve"> be implemented</w:t>
      </w:r>
      <w:r>
        <w:rPr>
          <w:szCs w:val="24"/>
        </w:rPr>
        <w:t>,</w:t>
      </w:r>
      <w:r w:rsidRPr="00AF4B68">
        <w:rPr>
          <w:szCs w:val="24"/>
        </w:rPr>
        <w:t xml:space="preserve"> together with the timeframe for implementation and availability of funds. T</w:t>
      </w:r>
      <w:r>
        <w:rPr>
          <w:szCs w:val="24"/>
        </w:rPr>
        <w:t xml:space="preserve">he </w:t>
      </w:r>
      <w:r w:rsidRPr="00AF4B68">
        <w:rPr>
          <w:szCs w:val="24"/>
        </w:rPr>
        <w:t>Ministry w</w:t>
      </w:r>
      <w:r>
        <w:rPr>
          <w:szCs w:val="24"/>
        </w:rPr>
        <w:t xml:space="preserve">ould then consider </w:t>
      </w:r>
      <w:r w:rsidRPr="00AF4B68">
        <w:rPr>
          <w:szCs w:val="24"/>
        </w:rPr>
        <w:t xml:space="preserve">whether to retrieve the land or not. </w:t>
      </w:r>
      <w:r>
        <w:rPr>
          <w:szCs w:val="24"/>
        </w:rPr>
        <w:t>Subsequently, the</w:t>
      </w:r>
      <w:r w:rsidRPr="00AF4B68">
        <w:rPr>
          <w:szCs w:val="24"/>
        </w:rPr>
        <w:t xml:space="preserve"> Ministries</w:t>
      </w:r>
      <w:r>
        <w:rPr>
          <w:szCs w:val="24"/>
        </w:rPr>
        <w:t>/Departments submitted feedback</w:t>
      </w:r>
      <w:r w:rsidRPr="00AF4B68">
        <w:rPr>
          <w:szCs w:val="24"/>
        </w:rPr>
        <w:t xml:space="preserve"> on the status of their projects</w:t>
      </w:r>
      <w:r>
        <w:rPr>
          <w:szCs w:val="24"/>
        </w:rPr>
        <w:t>. The following were</w:t>
      </w:r>
      <w:r w:rsidRPr="00AF4B68">
        <w:rPr>
          <w:szCs w:val="24"/>
        </w:rPr>
        <w:t xml:space="preserve"> gathered:</w:t>
      </w:r>
    </w:p>
    <w:p w:rsidR="00CF46B4" w:rsidRPr="00AF4B68" w:rsidRDefault="00CF46B4" w:rsidP="00CF46B4">
      <w:pPr>
        <w:spacing w:after="0" w:line="240" w:lineRule="auto"/>
        <w:jc w:val="both"/>
        <w:rPr>
          <w:szCs w:val="24"/>
        </w:rPr>
      </w:pPr>
    </w:p>
    <w:p w:rsidR="00CF46B4" w:rsidRDefault="00CF46B4" w:rsidP="00CF46B4">
      <w:pPr>
        <w:numPr>
          <w:ilvl w:val="0"/>
          <w:numId w:val="5"/>
        </w:numPr>
        <w:spacing w:after="0" w:line="240" w:lineRule="auto"/>
        <w:ind w:left="360"/>
        <w:contextualSpacing/>
        <w:jc w:val="both"/>
        <w:rPr>
          <w:szCs w:val="24"/>
        </w:rPr>
      </w:pPr>
      <w:r>
        <w:rPr>
          <w:szCs w:val="24"/>
        </w:rPr>
        <w:t>10</w:t>
      </w:r>
      <w:r w:rsidRPr="00AF4B68">
        <w:rPr>
          <w:szCs w:val="24"/>
        </w:rPr>
        <w:t xml:space="preserve"> Ministries/Departments had not sent any reply</w:t>
      </w:r>
      <w:r>
        <w:rPr>
          <w:szCs w:val="24"/>
        </w:rPr>
        <w:t>,</w:t>
      </w:r>
      <w:r w:rsidRPr="00AF4B68">
        <w:rPr>
          <w:szCs w:val="24"/>
        </w:rPr>
        <w:t xml:space="preserve"> involving 127.81A </w:t>
      </w:r>
      <w:r>
        <w:rPr>
          <w:szCs w:val="24"/>
        </w:rPr>
        <w:t xml:space="preserve">of land </w:t>
      </w:r>
      <w:r w:rsidRPr="00AF4B68">
        <w:rPr>
          <w:szCs w:val="24"/>
        </w:rPr>
        <w:t xml:space="preserve">for </w:t>
      </w:r>
      <w:r w:rsidR="005F6086">
        <w:rPr>
          <w:szCs w:val="24"/>
        </w:rPr>
        <w:br/>
      </w:r>
      <w:r w:rsidRPr="00AF4B68">
        <w:rPr>
          <w:szCs w:val="24"/>
        </w:rPr>
        <w:t>46 projects</w:t>
      </w:r>
      <w:r>
        <w:rPr>
          <w:szCs w:val="24"/>
        </w:rPr>
        <w:t>;</w:t>
      </w:r>
    </w:p>
    <w:p w:rsidR="00CF46B4" w:rsidRPr="00AF4B68" w:rsidRDefault="00CF46B4" w:rsidP="00CF46B4">
      <w:pPr>
        <w:spacing w:after="0" w:line="240" w:lineRule="auto"/>
        <w:ind w:left="360"/>
        <w:contextualSpacing/>
        <w:jc w:val="both"/>
        <w:rPr>
          <w:szCs w:val="24"/>
        </w:rPr>
      </w:pPr>
      <w:r w:rsidRPr="00AF4B68">
        <w:rPr>
          <w:szCs w:val="24"/>
        </w:rPr>
        <w:t xml:space="preserve"> </w:t>
      </w:r>
    </w:p>
    <w:p w:rsidR="00CF46B4" w:rsidRPr="000D38C0" w:rsidRDefault="00CF46B4" w:rsidP="00CF46B4">
      <w:pPr>
        <w:numPr>
          <w:ilvl w:val="0"/>
          <w:numId w:val="5"/>
        </w:numPr>
        <w:spacing w:after="0" w:line="240" w:lineRule="auto"/>
        <w:ind w:left="360"/>
        <w:contextualSpacing/>
        <w:jc w:val="both"/>
        <w:rPr>
          <w:b/>
          <w:szCs w:val="24"/>
          <w:u w:val="single"/>
        </w:rPr>
      </w:pPr>
      <w:r w:rsidRPr="00AF4B68">
        <w:rPr>
          <w:szCs w:val="24"/>
        </w:rPr>
        <w:t xml:space="preserve">Four Ministries/Departments </w:t>
      </w:r>
      <w:r>
        <w:rPr>
          <w:szCs w:val="24"/>
        </w:rPr>
        <w:t>were</w:t>
      </w:r>
      <w:r w:rsidRPr="00AF4B68">
        <w:rPr>
          <w:szCs w:val="24"/>
        </w:rPr>
        <w:t xml:space="preserve"> not going ahead with eight projects</w:t>
      </w:r>
      <w:r>
        <w:rPr>
          <w:szCs w:val="24"/>
        </w:rPr>
        <w:t>,</w:t>
      </w:r>
      <w:r w:rsidRPr="00AF4B68">
        <w:rPr>
          <w:szCs w:val="24"/>
        </w:rPr>
        <w:t xml:space="preserve"> that involve</w:t>
      </w:r>
      <w:r>
        <w:rPr>
          <w:szCs w:val="24"/>
        </w:rPr>
        <w:t>d</w:t>
      </w:r>
      <w:r w:rsidRPr="00AF4B68">
        <w:rPr>
          <w:szCs w:val="24"/>
        </w:rPr>
        <w:t xml:space="preserve"> 7.03A</w:t>
      </w:r>
      <w:r>
        <w:rPr>
          <w:szCs w:val="24"/>
        </w:rPr>
        <w:t xml:space="preserve"> of land;</w:t>
      </w:r>
    </w:p>
    <w:p w:rsidR="00CF46B4" w:rsidRPr="00AF4B68" w:rsidRDefault="00CF46B4" w:rsidP="00CF46B4">
      <w:pPr>
        <w:spacing w:after="0" w:line="240" w:lineRule="auto"/>
        <w:contextualSpacing/>
        <w:jc w:val="both"/>
        <w:rPr>
          <w:b/>
          <w:szCs w:val="24"/>
          <w:u w:val="single"/>
        </w:rPr>
      </w:pPr>
      <w:r w:rsidRPr="00AF4B68">
        <w:rPr>
          <w:szCs w:val="24"/>
        </w:rPr>
        <w:t xml:space="preserve"> </w:t>
      </w:r>
    </w:p>
    <w:p w:rsidR="00CF46B4" w:rsidRPr="00AF4B68" w:rsidRDefault="00CF46B4" w:rsidP="00CF46B4">
      <w:pPr>
        <w:numPr>
          <w:ilvl w:val="0"/>
          <w:numId w:val="5"/>
        </w:numPr>
        <w:spacing w:after="0" w:line="240" w:lineRule="auto"/>
        <w:ind w:left="360"/>
        <w:contextualSpacing/>
        <w:jc w:val="both"/>
        <w:rPr>
          <w:b/>
          <w:szCs w:val="24"/>
          <w:u w:val="single"/>
        </w:rPr>
      </w:pPr>
      <w:r w:rsidRPr="00AF4B68">
        <w:rPr>
          <w:szCs w:val="24"/>
        </w:rPr>
        <w:t>One Ministry reported that two projects, involving 0.71A</w:t>
      </w:r>
      <w:r>
        <w:rPr>
          <w:szCs w:val="24"/>
        </w:rPr>
        <w:t xml:space="preserve"> of land</w:t>
      </w:r>
      <w:r w:rsidRPr="00AF4B68">
        <w:rPr>
          <w:szCs w:val="24"/>
        </w:rPr>
        <w:t xml:space="preserve">, </w:t>
      </w:r>
      <w:r>
        <w:rPr>
          <w:szCs w:val="24"/>
        </w:rPr>
        <w:t>we</w:t>
      </w:r>
      <w:r w:rsidRPr="00AF4B68">
        <w:rPr>
          <w:szCs w:val="24"/>
        </w:rPr>
        <w:t>re to be kept in abeyance</w:t>
      </w:r>
      <w:r>
        <w:rPr>
          <w:szCs w:val="24"/>
        </w:rPr>
        <w:t>;</w:t>
      </w:r>
    </w:p>
    <w:p w:rsidR="00CF46B4" w:rsidRPr="000D38C0" w:rsidRDefault="00CF46B4" w:rsidP="00CF46B4">
      <w:pPr>
        <w:spacing w:after="0" w:line="240" w:lineRule="auto"/>
        <w:ind w:left="360"/>
        <w:contextualSpacing/>
        <w:jc w:val="both"/>
        <w:rPr>
          <w:b/>
          <w:szCs w:val="24"/>
          <w:u w:val="single"/>
        </w:rPr>
      </w:pPr>
    </w:p>
    <w:p w:rsidR="00CF46B4" w:rsidRPr="00AF4B68" w:rsidRDefault="00CF46B4" w:rsidP="00CF46B4">
      <w:pPr>
        <w:numPr>
          <w:ilvl w:val="0"/>
          <w:numId w:val="5"/>
        </w:numPr>
        <w:spacing w:after="0" w:line="240" w:lineRule="auto"/>
        <w:ind w:left="360"/>
        <w:contextualSpacing/>
        <w:jc w:val="both"/>
        <w:rPr>
          <w:b/>
          <w:szCs w:val="24"/>
          <w:u w:val="single"/>
        </w:rPr>
      </w:pPr>
      <w:r w:rsidRPr="00AF4B68">
        <w:rPr>
          <w:szCs w:val="24"/>
        </w:rPr>
        <w:t>Four Ministries/Departments intend</w:t>
      </w:r>
      <w:r>
        <w:rPr>
          <w:szCs w:val="24"/>
        </w:rPr>
        <w:t>ed</w:t>
      </w:r>
      <w:r w:rsidRPr="00AF4B68">
        <w:rPr>
          <w:szCs w:val="24"/>
        </w:rPr>
        <w:t xml:space="preserve"> to go ahead with 29 projects involving 61.65A</w:t>
      </w:r>
      <w:r>
        <w:rPr>
          <w:szCs w:val="24"/>
        </w:rPr>
        <w:t xml:space="preserve"> of land</w:t>
      </w:r>
      <w:r w:rsidRPr="00AF4B68">
        <w:rPr>
          <w:szCs w:val="24"/>
        </w:rPr>
        <w:t xml:space="preserve">. </w:t>
      </w:r>
    </w:p>
    <w:p w:rsidR="00CF46B4" w:rsidRPr="00AF4B68" w:rsidRDefault="00CF46B4" w:rsidP="00CF46B4">
      <w:pPr>
        <w:spacing w:after="0" w:line="240" w:lineRule="auto"/>
        <w:jc w:val="both"/>
        <w:rPr>
          <w:b/>
          <w:i/>
          <w:szCs w:val="24"/>
        </w:rPr>
      </w:pPr>
    </w:p>
    <w:p w:rsidR="00CF46B4" w:rsidRDefault="00CF46B4" w:rsidP="00CF46B4">
      <w:pPr>
        <w:spacing w:after="0" w:line="240" w:lineRule="auto"/>
        <w:jc w:val="both"/>
        <w:rPr>
          <w:b/>
          <w:i/>
          <w:szCs w:val="24"/>
        </w:rPr>
      </w:pPr>
      <w:r w:rsidRPr="00AF4B68">
        <w:rPr>
          <w:b/>
          <w:i/>
          <w:szCs w:val="24"/>
        </w:rPr>
        <w:t>Recommendations</w:t>
      </w:r>
    </w:p>
    <w:p w:rsidR="00CF46B4" w:rsidRPr="00AF4B68" w:rsidRDefault="00CF46B4" w:rsidP="00CF46B4">
      <w:pPr>
        <w:spacing w:after="0" w:line="240" w:lineRule="auto"/>
        <w:jc w:val="both"/>
        <w:rPr>
          <w:b/>
          <w:i/>
          <w:szCs w:val="24"/>
        </w:rPr>
      </w:pPr>
    </w:p>
    <w:p w:rsidR="00CF46B4" w:rsidRDefault="00CF46B4" w:rsidP="00CF46B4">
      <w:pPr>
        <w:numPr>
          <w:ilvl w:val="0"/>
          <w:numId w:val="4"/>
        </w:numPr>
        <w:spacing w:after="0" w:line="240" w:lineRule="auto"/>
        <w:ind w:left="360"/>
        <w:jc w:val="both"/>
        <w:rPr>
          <w:szCs w:val="24"/>
        </w:rPr>
      </w:pPr>
      <w:r w:rsidRPr="00AF4B68">
        <w:rPr>
          <w:szCs w:val="24"/>
        </w:rPr>
        <w:t>The Ministry sh</w:t>
      </w:r>
      <w:r>
        <w:rPr>
          <w:szCs w:val="24"/>
        </w:rPr>
        <w:t>ould</w:t>
      </w:r>
      <w:r w:rsidRPr="00AF4B68">
        <w:rPr>
          <w:szCs w:val="24"/>
        </w:rPr>
        <w:t xml:space="preserve"> consider recovering vested l</w:t>
      </w:r>
      <w:r>
        <w:rPr>
          <w:szCs w:val="24"/>
        </w:rPr>
        <w:t xml:space="preserve">and for which the </w:t>
      </w:r>
      <w:r w:rsidRPr="00AF4B68">
        <w:rPr>
          <w:szCs w:val="24"/>
        </w:rPr>
        <w:t>Ministries/</w:t>
      </w:r>
      <w:r>
        <w:rPr>
          <w:szCs w:val="24"/>
        </w:rPr>
        <w:br/>
      </w:r>
      <w:r w:rsidRPr="00AF4B68">
        <w:rPr>
          <w:szCs w:val="24"/>
        </w:rPr>
        <w:t>Departments have no firm commitment</w:t>
      </w:r>
      <w:r>
        <w:rPr>
          <w:szCs w:val="24"/>
        </w:rPr>
        <w:t>;</w:t>
      </w:r>
    </w:p>
    <w:p w:rsidR="00CF46B4" w:rsidRPr="00AF4B68" w:rsidRDefault="00CF46B4" w:rsidP="00CF46B4">
      <w:pPr>
        <w:spacing w:after="0" w:line="240" w:lineRule="auto"/>
        <w:ind w:left="360"/>
        <w:jc w:val="both"/>
        <w:rPr>
          <w:szCs w:val="24"/>
        </w:rPr>
      </w:pPr>
    </w:p>
    <w:p w:rsidR="00CF46B4" w:rsidRDefault="00CF46B4" w:rsidP="00CF46B4">
      <w:pPr>
        <w:numPr>
          <w:ilvl w:val="0"/>
          <w:numId w:val="4"/>
        </w:numPr>
        <w:spacing w:after="0" w:line="240" w:lineRule="auto"/>
        <w:ind w:left="360"/>
        <w:jc w:val="both"/>
        <w:rPr>
          <w:szCs w:val="24"/>
        </w:rPr>
      </w:pPr>
      <w:r w:rsidRPr="00AF4B68">
        <w:rPr>
          <w:szCs w:val="24"/>
        </w:rPr>
        <w:t>For the other projects, the Ministry sh</w:t>
      </w:r>
      <w:r>
        <w:rPr>
          <w:szCs w:val="24"/>
        </w:rPr>
        <w:t>ould</w:t>
      </w:r>
      <w:r w:rsidRPr="00AF4B68">
        <w:rPr>
          <w:szCs w:val="24"/>
        </w:rPr>
        <w:t xml:space="preserve"> </w:t>
      </w:r>
      <w:r>
        <w:rPr>
          <w:szCs w:val="24"/>
        </w:rPr>
        <w:t>monitor prompt utilis</w:t>
      </w:r>
      <w:r w:rsidR="00CF5CC4">
        <w:rPr>
          <w:szCs w:val="24"/>
        </w:rPr>
        <w:t>ation of the vested lands;</w:t>
      </w:r>
    </w:p>
    <w:p w:rsidR="00CF46B4" w:rsidRDefault="00CF46B4" w:rsidP="00CF46B4">
      <w:pPr>
        <w:spacing w:after="0" w:line="240" w:lineRule="auto"/>
        <w:ind w:left="360"/>
        <w:jc w:val="both"/>
        <w:rPr>
          <w:szCs w:val="24"/>
        </w:rPr>
      </w:pPr>
    </w:p>
    <w:p w:rsidR="00CF46B4" w:rsidRDefault="00CF46B4" w:rsidP="00CF46B4">
      <w:pPr>
        <w:numPr>
          <w:ilvl w:val="0"/>
          <w:numId w:val="4"/>
        </w:numPr>
        <w:spacing w:after="0" w:line="240" w:lineRule="auto"/>
        <w:ind w:left="360"/>
        <w:jc w:val="both"/>
        <w:rPr>
          <w:szCs w:val="24"/>
        </w:rPr>
      </w:pPr>
      <w:r>
        <w:rPr>
          <w:szCs w:val="24"/>
        </w:rPr>
        <w:t xml:space="preserve">For lands already vested and intended to be developed, the Ministries/Departments should submit a </w:t>
      </w:r>
      <w:r w:rsidRPr="00AF4B68">
        <w:rPr>
          <w:szCs w:val="24"/>
        </w:rPr>
        <w:t>project implementation plan</w:t>
      </w:r>
      <w:r>
        <w:rPr>
          <w:szCs w:val="24"/>
        </w:rPr>
        <w:t xml:space="preserve"> and</w:t>
      </w:r>
      <w:r w:rsidRPr="00AF4B68">
        <w:rPr>
          <w:szCs w:val="24"/>
        </w:rPr>
        <w:t xml:space="preserve"> their financial budgets</w:t>
      </w:r>
      <w:r>
        <w:rPr>
          <w:szCs w:val="24"/>
        </w:rPr>
        <w:t>;</w:t>
      </w:r>
    </w:p>
    <w:p w:rsidR="00CF46B4" w:rsidRDefault="00CF46B4" w:rsidP="00CF46B4">
      <w:pPr>
        <w:spacing w:after="0" w:line="240" w:lineRule="auto"/>
        <w:jc w:val="both"/>
        <w:rPr>
          <w:szCs w:val="24"/>
        </w:rPr>
      </w:pPr>
    </w:p>
    <w:p w:rsidR="00CF46B4" w:rsidRPr="006452F2" w:rsidRDefault="00CF46B4" w:rsidP="00CF46B4">
      <w:pPr>
        <w:numPr>
          <w:ilvl w:val="0"/>
          <w:numId w:val="4"/>
        </w:numPr>
        <w:spacing w:after="0" w:line="240" w:lineRule="auto"/>
        <w:ind w:left="360"/>
        <w:jc w:val="both"/>
        <w:rPr>
          <w:szCs w:val="24"/>
        </w:rPr>
      </w:pPr>
      <w:r>
        <w:rPr>
          <w:szCs w:val="24"/>
        </w:rPr>
        <w:t>The Ministries/Departments</w:t>
      </w:r>
      <w:r w:rsidRPr="00F12010">
        <w:rPr>
          <w:szCs w:val="24"/>
        </w:rPr>
        <w:t xml:space="preserve"> should report to the Ministry on the status of their projects on a regular basis</w:t>
      </w:r>
      <w:r>
        <w:rPr>
          <w:rFonts w:ascii="Arial" w:hAnsi="Arial" w:cs="Arial"/>
          <w:szCs w:val="24"/>
        </w:rPr>
        <w:t>.</w:t>
      </w:r>
    </w:p>
    <w:p w:rsidR="00CF46B4" w:rsidRPr="00F12010" w:rsidRDefault="00CF46B4" w:rsidP="00CF46B4">
      <w:pPr>
        <w:spacing w:after="0" w:line="240" w:lineRule="auto"/>
        <w:ind w:left="360"/>
        <w:jc w:val="both"/>
        <w:rPr>
          <w:szCs w:val="24"/>
        </w:rPr>
      </w:pPr>
    </w:p>
    <w:p w:rsidR="00CF46B4" w:rsidRDefault="00CF46B4" w:rsidP="00CF46B4">
      <w:pPr>
        <w:spacing w:after="0" w:line="240" w:lineRule="auto"/>
        <w:jc w:val="both"/>
        <w:rPr>
          <w:b/>
          <w:i/>
          <w:szCs w:val="24"/>
        </w:rPr>
      </w:pPr>
      <w:r w:rsidRPr="002117A9">
        <w:rPr>
          <w:b/>
          <w:i/>
          <w:szCs w:val="24"/>
        </w:rPr>
        <w:lastRenderedPageBreak/>
        <w:t>Ministry’s Reply</w:t>
      </w:r>
    </w:p>
    <w:p w:rsidR="00CF46B4" w:rsidRDefault="00CF46B4" w:rsidP="00CF46B4">
      <w:pPr>
        <w:spacing w:after="0" w:line="240" w:lineRule="auto"/>
        <w:jc w:val="both"/>
        <w:rPr>
          <w:b/>
          <w:i/>
          <w:szCs w:val="24"/>
        </w:rPr>
      </w:pPr>
    </w:p>
    <w:p w:rsidR="00CF46B4" w:rsidRPr="006452F2" w:rsidRDefault="00CF46B4" w:rsidP="006E2489">
      <w:pPr>
        <w:tabs>
          <w:tab w:val="left" w:pos="360"/>
        </w:tabs>
        <w:spacing w:after="0" w:line="240" w:lineRule="auto"/>
        <w:jc w:val="both"/>
        <w:rPr>
          <w:szCs w:val="24"/>
        </w:rPr>
      </w:pPr>
      <w:r w:rsidRPr="006452F2">
        <w:rPr>
          <w:szCs w:val="24"/>
        </w:rPr>
        <w:t xml:space="preserve">The Ministry further followed up with letters and a slow response was received. </w:t>
      </w:r>
    </w:p>
    <w:p w:rsidR="00CF46B4" w:rsidRPr="002117A9" w:rsidRDefault="00CF46B4" w:rsidP="006E2489">
      <w:pPr>
        <w:pStyle w:val="ListParagraph"/>
        <w:tabs>
          <w:tab w:val="left" w:pos="360"/>
        </w:tabs>
        <w:spacing w:after="0" w:line="240" w:lineRule="auto"/>
        <w:ind w:left="360"/>
        <w:jc w:val="both"/>
        <w:rPr>
          <w:szCs w:val="24"/>
        </w:rPr>
      </w:pPr>
    </w:p>
    <w:p w:rsidR="00CF46B4" w:rsidRPr="006452F2" w:rsidRDefault="00CF46B4" w:rsidP="006E2489">
      <w:pPr>
        <w:spacing w:after="0" w:line="240" w:lineRule="auto"/>
        <w:jc w:val="both"/>
        <w:rPr>
          <w:szCs w:val="24"/>
        </w:rPr>
      </w:pPr>
      <w:r w:rsidRPr="002117A9">
        <w:t>Action has been initiated to retrieve land where projects are not being implemented.</w:t>
      </w:r>
    </w:p>
    <w:p w:rsidR="00CF46B4" w:rsidRPr="002117A9" w:rsidRDefault="00CF46B4" w:rsidP="006E2489">
      <w:pPr>
        <w:pStyle w:val="ListParagraph"/>
        <w:spacing w:after="0" w:line="240" w:lineRule="auto"/>
        <w:ind w:left="431"/>
        <w:jc w:val="both"/>
        <w:rPr>
          <w:szCs w:val="24"/>
        </w:rPr>
      </w:pPr>
    </w:p>
    <w:p w:rsidR="00CF46B4" w:rsidRPr="002117A9" w:rsidRDefault="00CF46B4" w:rsidP="006E2489">
      <w:pPr>
        <w:spacing w:after="0" w:line="240" w:lineRule="auto"/>
        <w:jc w:val="both"/>
      </w:pPr>
      <w:r w:rsidRPr="006452F2">
        <w:rPr>
          <w:szCs w:val="24"/>
        </w:rPr>
        <w:t xml:space="preserve">Ministries have to inform us </w:t>
      </w:r>
      <w:r w:rsidR="00CF5CC4">
        <w:rPr>
          <w:szCs w:val="24"/>
        </w:rPr>
        <w:t>of their way forward prior to our</w:t>
      </w:r>
      <w:r w:rsidRPr="006452F2">
        <w:rPr>
          <w:szCs w:val="24"/>
        </w:rPr>
        <w:t xml:space="preserve"> proceeding with any further action.</w:t>
      </w:r>
    </w:p>
    <w:p w:rsidR="00CF46B4" w:rsidRPr="002117A9" w:rsidRDefault="00CF46B4" w:rsidP="006E2489">
      <w:pPr>
        <w:pStyle w:val="ListParagraph"/>
        <w:spacing w:after="0" w:line="240" w:lineRule="auto"/>
        <w:jc w:val="both"/>
      </w:pPr>
    </w:p>
    <w:p w:rsidR="00CF46B4" w:rsidRDefault="00CF46B4" w:rsidP="006E2489">
      <w:pPr>
        <w:spacing w:after="0" w:line="240" w:lineRule="auto"/>
        <w:jc w:val="both"/>
      </w:pPr>
      <w:r w:rsidRPr="002117A9">
        <w:t>This Ministry cannot retrieve such land without confirmation from the Ministry in which the land has been vested that the land would no more be required for the purpose for which it was acquired prior to vesting same in another Ministry.</w:t>
      </w:r>
    </w:p>
    <w:p w:rsidR="00CF46B4" w:rsidRDefault="00CF46B4" w:rsidP="00CF46B4">
      <w:pPr>
        <w:pStyle w:val="ListParagraph"/>
        <w:spacing w:after="0" w:line="240" w:lineRule="auto"/>
        <w:ind w:left="431"/>
        <w:jc w:val="both"/>
      </w:pPr>
    </w:p>
    <w:p w:rsidR="00A97204" w:rsidRPr="002117A9" w:rsidRDefault="00A97204" w:rsidP="00CF46B4">
      <w:pPr>
        <w:pStyle w:val="ListParagraph"/>
        <w:spacing w:after="0" w:line="240" w:lineRule="auto"/>
        <w:ind w:left="431"/>
        <w:jc w:val="both"/>
      </w:pPr>
    </w:p>
    <w:p w:rsidR="00CF46B4" w:rsidRDefault="00CF46B4" w:rsidP="00CF46B4">
      <w:pPr>
        <w:spacing w:after="0" w:line="240" w:lineRule="auto"/>
        <w:jc w:val="both"/>
        <w:rPr>
          <w:b/>
          <w:szCs w:val="24"/>
        </w:rPr>
      </w:pPr>
      <w:r>
        <w:rPr>
          <w:b/>
          <w:szCs w:val="24"/>
        </w:rPr>
        <w:t>4.3</w:t>
      </w:r>
      <w:r w:rsidRPr="00AF4B68">
        <w:rPr>
          <w:b/>
          <w:szCs w:val="24"/>
        </w:rPr>
        <w:tab/>
        <w:t>Mauritius Sugar Producers’ Association Lands Scheme</w:t>
      </w:r>
    </w:p>
    <w:p w:rsidR="00CF46B4" w:rsidRPr="00AF4B68" w:rsidRDefault="00CF46B4" w:rsidP="00CF46B4">
      <w:pPr>
        <w:spacing w:after="0" w:line="240" w:lineRule="auto"/>
        <w:jc w:val="both"/>
        <w:rPr>
          <w:b/>
          <w:szCs w:val="24"/>
        </w:rPr>
      </w:pPr>
    </w:p>
    <w:p w:rsidR="00CF46B4" w:rsidRPr="00AF4B68" w:rsidRDefault="00CF46B4" w:rsidP="00CF46B4">
      <w:pPr>
        <w:spacing w:after="0" w:line="240" w:lineRule="auto"/>
        <w:jc w:val="both"/>
        <w:rPr>
          <w:szCs w:val="24"/>
        </w:rPr>
      </w:pPr>
      <w:r w:rsidRPr="00AF4B68">
        <w:rPr>
          <w:szCs w:val="24"/>
        </w:rPr>
        <w:t xml:space="preserve">In the context of restructuring of the </w:t>
      </w:r>
      <w:r>
        <w:rPr>
          <w:szCs w:val="24"/>
        </w:rPr>
        <w:t>Sugar S</w:t>
      </w:r>
      <w:r w:rsidRPr="00AF4B68">
        <w:rPr>
          <w:szCs w:val="24"/>
        </w:rPr>
        <w:t>ector, an agreement was signed between Government and the Mauritius Sugar Producers’ Association (MSPA) in April 2008.</w:t>
      </w:r>
      <w:r w:rsidR="00E43BEE">
        <w:rPr>
          <w:szCs w:val="24"/>
        </w:rPr>
        <w:t xml:space="preserve"> </w:t>
      </w:r>
      <w:r w:rsidRPr="00AF4B68">
        <w:rPr>
          <w:szCs w:val="24"/>
        </w:rPr>
        <w:t>This would</w:t>
      </w:r>
      <w:r>
        <w:rPr>
          <w:szCs w:val="24"/>
        </w:rPr>
        <w:t>,</w:t>
      </w:r>
      <w:r w:rsidRPr="00AF4B68">
        <w:rPr>
          <w:szCs w:val="24"/>
        </w:rPr>
        <w:t xml:space="preserve"> inter alia</w:t>
      </w:r>
      <w:r>
        <w:rPr>
          <w:szCs w:val="24"/>
        </w:rPr>
        <w:t>,</w:t>
      </w:r>
      <w:r w:rsidRPr="00AF4B68">
        <w:rPr>
          <w:szCs w:val="24"/>
        </w:rPr>
        <w:t xml:space="preserve"> </w:t>
      </w:r>
      <w:r>
        <w:rPr>
          <w:szCs w:val="24"/>
        </w:rPr>
        <w:t>involve</w:t>
      </w:r>
      <w:r w:rsidRPr="00AF4B68">
        <w:rPr>
          <w:szCs w:val="24"/>
        </w:rPr>
        <w:t xml:space="preserve"> the gradual transfer of 2</w:t>
      </w:r>
      <w:r>
        <w:rPr>
          <w:szCs w:val="24"/>
        </w:rPr>
        <w:t>,</w:t>
      </w:r>
      <w:r w:rsidRPr="00AF4B68">
        <w:rPr>
          <w:szCs w:val="24"/>
        </w:rPr>
        <w:t>000</w:t>
      </w:r>
      <w:r>
        <w:rPr>
          <w:szCs w:val="24"/>
        </w:rPr>
        <w:t>A</w:t>
      </w:r>
      <w:r w:rsidRPr="00AF4B68">
        <w:rPr>
          <w:szCs w:val="24"/>
        </w:rPr>
        <w:t xml:space="preserve"> of land to Government up to December 2017.</w:t>
      </w:r>
      <w:r>
        <w:rPr>
          <w:szCs w:val="24"/>
        </w:rPr>
        <w:t xml:space="preserve"> </w:t>
      </w:r>
      <w:r w:rsidRPr="00AF4B68">
        <w:rPr>
          <w:szCs w:val="24"/>
        </w:rPr>
        <w:t>A Steering Committee</w:t>
      </w:r>
      <w:r>
        <w:rPr>
          <w:szCs w:val="24"/>
        </w:rPr>
        <w:t xml:space="preserve"> was set up and it was agreed</w:t>
      </w:r>
      <w:r w:rsidRPr="00AF4B68">
        <w:rPr>
          <w:szCs w:val="24"/>
        </w:rPr>
        <w:t xml:space="preserve"> that the land would be used </w:t>
      </w:r>
      <w:r>
        <w:rPr>
          <w:szCs w:val="24"/>
        </w:rPr>
        <w:t xml:space="preserve">mainly </w:t>
      </w:r>
      <w:r w:rsidRPr="00AF4B68">
        <w:rPr>
          <w:szCs w:val="24"/>
        </w:rPr>
        <w:t>for agricultural</w:t>
      </w:r>
      <w:r>
        <w:rPr>
          <w:szCs w:val="24"/>
        </w:rPr>
        <w:t xml:space="preserve"> and</w:t>
      </w:r>
      <w:r w:rsidRPr="00AF4B68">
        <w:rPr>
          <w:szCs w:val="24"/>
        </w:rPr>
        <w:t xml:space="preserve"> social housing</w:t>
      </w:r>
      <w:r>
        <w:rPr>
          <w:szCs w:val="24"/>
        </w:rPr>
        <w:t xml:space="preserve"> as well as for </w:t>
      </w:r>
      <w:r w:rsidRPr="00AF4B68">
        <w:rPr>
          <w:szCs w:val="24"/>
        </w:rPr>
        <w:t xml:space="preserve">small and medium enterprises, university campuses and other social purposes. </w:t>
      </w:r>
    </w:p>
    <w:p w:rsidR="00CF46B4" w:rsidRDefault="00CF46B4" w:rsidP="00CF46B4">
      <w:pPr>
        <w:spacing w:after="0" w:line="240" w:lineRule="auto"/>
        <w:jc w:val="both"/>
        <w:rPr>
          <w:szCs w:val="24"/>
        </w:rPr>
      </w:pPr>
    </w:p>
    <w:p w:rsidR="00CF46B4" w:rsidRDefault="00CF46B4" w:rsidP="00CF46B4">
      <w:pPr>
        <w:spacing w:after="0" w:line="240" w:lineRule="auto"/>
        <w:jc w:val="both"/>
        <w:rPr>
          <w:szCs w:val="24"/>
        </w:rPr>
      </w:pPr>
      <w:r w:rsidRPr="00462710">
        <w:rPr>
          <w:szCs w:val="24"/>
        </w:rPr>
        <w:t>Though the agreement was to expire in December 2017, the Ministry had not yet finalised the transfer of 668A of land</w:t>
      </w:r>
      <w:r w:rsidRPr="00143721">
        <w:rPr>
          <w:szCs w:val="24"/>
        </w:rPr>
        <w:t xml:space="preserve"> </w:t>
      </w:r>
      <w:r w:rsidRPr="00462710">
        <w:rPr>
          <w:szCs w:val="24"/>
        </w:rPr>
        <w:t>as of early February 2018. The latter included the following:</w:t>
      </w:r>
    </w:p>
    <w:p w:rsidR="00CF46B4" w:rsidRPr="00462710" w:rsidRDefault="00CF46B4" w:rsidP="00CF46B4">
      <w:pPr>
        <w:spacing w:after="0" w:line="240" w:lineRule="auto"/>
        <w:jc w:val="both"/>
        <w:rPr>
          <w:szCs w:val="24"/>
        </w:rPr>
      </w:pPr>
    </w:p>
    <w:p w:rsidR="00CF46B4" w:rsidRDefault="00CF5CC4" w:rsidP="00CF46B4">
      <w:pPr>
        <w:pStyle w:val="ListParagraph"/>
        <w:numPr>
          <w:ilvl w:val="0"/>
          <w:numId w:val="14"/>
        </w:numPr>
        <w:spacing w:after="0" w:line="240" w:lineRule="auto"/>
        <w:jc w:val="both"/>
        <w:rPr>
          <w:szCs w:val="24"/>
        </w:rPr>
      </w:pPr>
      <w:r>
        <w:rPr>
          <w:szCs w:val="24"/>
        </w:rPr>
        <w:t>Deeds for 530</w:t>
      </w:r>
      <w:r w:rsidR="00CF46B4" w:rsidRPr="00781B3F">
        <w:rPr>
          <w:szCs w:val="24"/>
        </w:rPr>
        <w:t xml:space="preserve">A </w:t>
      </w:r>
      <w:r w:rsidR="00CF46B4">
        <w:rPr>
          <w:szCs w:val="24"/>
        </w:rPr>
        <w:t>that had to be</w:t>
      </w:r>
      <w:r w:rsidR="00CF46B4" w:rsidRPr="00781B3F">
        <w:rPr>
          <w:szCs w:val="24"/>
        </w:rPr>
        <w:t xml:space="preserve"> finali</w:t>
      </w:r>
      <w:r w:rsidR="00CF46B4">
        <w:rPr>
          <w:szCs w:val="24"/>
        </w:rPr>
        <w:t>s</w:t>
      </w:r>
      <w:r w:rsidR="00CF46B4" w:rsidRPr="00781B3F">
        <w:rPr>
          <w:szCs w:val="24"/>
        </w:rPr>
        <w:t>ed by Notary</w:t>
      </w:r>
      <w:r w:rsidR="00CF46B4">
        <w:rPr>
          <w:szCs w:val="24"/>
        </w:rPr>
        <w:t>;</w:t>
      </w:r>
    </w:p>
    <w:p w:rsidR="00CF46B4" w:rsidRDefault="00CF46B4" w:rsidP="00CF46B4">
      <w:pPr>
        <w:pStyle w:val="ListParagraph"/>
        <w:spacing w:after="0" w:line="240" w:lineRule="auto"/>
        <w:ind w:left="360"/>
        <w:jc w:val="both"/>
        <w:rPr>
          <w:szCs w:val="24"/>
        </w:rPr>
      </w:pPr>
    </w:p>
    <w:p w:rsidR="00CF46B4" w:rsidRDefault="00CF5CC4" w:rsidP="00CF46B4">
      <w:pPr>
        <w:pStyle w:val="ListParagraph"/>
        <w:numPr>
          <w:ilvl w:val="0"/>
          <w:numId w:val="14"/>
        </w:numPr>
        <w:spacing w:after="0" w:line="240" w:lineRule="auto"/>
        <w:jc w:val="both"/>
        <w:rPr>
          <w:szCs w:val="24"/>
        </w:rPr>
      </w:pPr>
      <w:r>
        <w:rPr>
          <w:szCs w:val="24"/>
        </w:rPr>
        <w:t>Acquisition p</w:t>
      </w:r>
      <w:r w:rsidR="00CF46B4" w:rsidRPr="00781B3F">
        <w:rPr>
          <w:szCs w:val="24"/>
        </w:rPr>
        <w:t xml:space="preserve">rocedures </w:t>
      </w:r>
      <w:r w:rsidR="00CF46B4">
        <w:rPr>
          <w:szCs w:val="24"/>
        </w:rPr>
        <w:t xml:space="preserve">that </w:t>
      </w:r>
      <w:r w:rsidR="00CF46B4" w:rsidRPr="00781B3F">
        <w:rPr>
          <w:szCs w:val="24"/>
        </w:rPr>
        <w:t>ha</w:t>
      </w:r>
      <w:r w:rsidR="00CF46B4">
        <w:rPr>
          <w:szCs w:val="24"/>
        </w:rPr>
        <w:t>d</w:t>
      </w:r>
      <w:r w:rsidR="00CF46B4" w:rsidRPr="00781B3F">
        <w:rPr>
          <w:szCs w:val="24"/>
        </w:rPr>
        <w:t xml:space="preserve"> been initiated for 102A</w:t>
      </w:r>
      <w:r w:rsidR="00CF46B4">
        <w:rPr>
          <w:szCs w:val="24"/>
        </w:rPr>
        <w:t>;</w:t>
      </w:r>
    </w:p>
    <w:p w:rsidR="00CF46B4" w:rsidRDefault="00CF46B4" w:rsidP="00CF46B4">
      <w:pPr>
        <w:pStyle w:val="ListParagraph"/>
        <w:spacing w:after="0" w:line="240" w:lineRule="auto"/>
        <w:ind w:left="360"/>
        <w:jc w:val="both"/>
        <w:rPr>
          <w:szCs w:val="24"/>
        </w:rPr>
      </w:pPr>
    </w:p>
    <w:p w:rsidR="00CF46B4" w:rsidRDefault="00CF46B4" w:rsidP="00CF46B4">
      <w:pPr>
        <w:pStyle w:val="ListParagraph"/>
        <w:numPr>
          <w:ilvl w:val="0"/>
          <w:numId w:val="14"/>
        </w:numPr>
        <w:spacing w:after="0" w:line="240" w:lineRule="auto"/>
        <w:jc w:val="both"/>
        <w:rPr>
          <w:szCs w:val="24"/>
        </w:rPr>
      </w:pPr>
      <w:r>
        <w:rPr>
          <w:szCs w:val="24"/>
        </w:rPr>
        <w:t>P</w:t>
      </w:r>
      <w:r w:rsidRPr="00781B3F">
        <w:rPr>
          <w:szCs w:val="24"/>
        </w:rPr>
        <w:t xml:space="preserve">roposals from Sugar Estates </w:t>
      </w:r>
      <w:r>
        <w:rPr>
          <w:szCs w:val="24"/>
        </w:rPr>
        <w:t xml:space="preserve">that have </w:t>
      </w:r>
      <w:r w:rsidRPr="00781B3F">
        <w:rPr>
          <w:szCs w:val="24"/>
        </w:rPr>
        <w:t>be</w:t>
      </w:r>
      <w:r>
        <w:rPr>
          <w:szCs w:val="24"/>
        </w:rPr>
        <w:t>en</w:t>
      </w:r>
      <w:r w:rsidRPr="00781B3F">
        <w:rPr>
          <w:szCs w:val="24"/>
        </w:rPr>
        <w:t xml:space="preserve"> awaited for 36A.</w:t>
      </w:r>
    </w:p>
    <w:p w:rsidR="00CF46B4" w:rsidRPr="00781B3F" w:rsidRDefault="00CF46B4" w:rsidP="00CF46B4">
      <w:pPr>
        <w:pStyle w:val="ListParagraph"/>
        <w:spacing w:after="0" w:line="240" w:lineRule="auto"/>
        <w:ind w:left="360"/>
        <w:jc w:val="both"/>
        <w:rPr>
          <w:szCs w:val="24"/>
        </w:rPr>
      </w:pPr>
    </w:p>
    <w:p w:rsidR="00CF46B4" w:rsidRPr="00C561D4" w:rsidRDefault="00CF46B4" w:rsidP="00CF46B4">
      <w:pPr>
        <w:spacing w:after="0" w:line="240" w:lineRule="auto"/>
        <w:jc w:val="both"/>
        <w:rPr>
          <w:b/>
          <w:i/>
          <w:szCs w:val="24"/>
        </w:rPr>
      </w:pPr>
      <w:r w:rsidRPr="00C561D4">
        <w:rPr>
          <w:b/>
          <w:i/>
          <w:szCs w:val="24"/>
        </w:rPr>
        <w:t>Ministry’s Reply</w:t>
      </w:r>
    </w:p>
    <w:p w:rsidR="00CF46B4" w:rsidRPr="00781B3F" w:rsidRDefault="00CF46B4" w:rsidP="00CF46B4">
      <w:pPr>
        <w:spacing w:after="0" w:line="240" w:lineRule="auto"/>
        <w:jc w:val="both"/>
        <w:rPr>
          <w:i/>
          <w:szCs w:val="24"/>
        </w:rPr>
      </w:pPr>
    </w:p>
    <w:p w:rsidR="00CF46B4" w:rsidRDefault="00CF46B4" w:rsidP="00CF46B4">
      <w:pPr>
        <w:spacing w:after="0" w:line="240" w:lineRule="auto"/>
        <w:jc w:val="both"/>
      </w:pPr>
      <w:r w:rsidRPr="002117A9">
        <w:t>There were delays by</w:t>
      </w:r>
      <w:r>
        <w:t>:</w:t>
      </w:r>
    </w:p>
    <w:p w:rsidR="00CF46B4" w:rsidRDefault="00CF46B4" w:rsidP="00CF46B4">
      <w:pPr>
        <w:spacing w:after="0" w:line="240" w:lineRule="auto"/>
        <w:jc w:val="both"/>
      </w:pPr>
    </w:p>
    <w:p w:rsidR="00CF46B4" w:rsidRPr="006452F2" w:rsidRDefault="00CF46B4" w:rsidP="00CF46B4">
      <w:pPr>
        <w:pStyle w:val="ListParagraph"/>
        <w:numPr>
          <w:ilvl w:val="0"/>
          <w:numId w:val="18"/>
        </w:numPr>
        <w:spacing w:after="0" w:line="240" w:lineRule="auto"/>
        <w:ind w:left="450" w:hanging="450"/>
        <w:jc w:val="both"/>
        <w:rPr>
          <w:b/>
          <w:i/>
        </w:rPr>
      </w:pPr>
      <w:r w:rsidRPr="002117A9">
        <w:t xml:space="preserve">Sugar Estates in proposing sites for social housing projects, many of which were not found suitable for project implementation by different stakeholders due to </w:t>
      </w:r>
      <w:r w:rsidRPr="006452F2">
        <w:rPr>
          <w:i/>
        </w:rPr>
        <w:t>inter-alia</w:t>
      </w:r>
      <w:r w:rsidRPr="002117A9">
        <w:t xml:space="preserve"> difficult topography, high cost of off-site works, </w:t>
      </w:r>
      <w:r w:rsidR="00CF5CC4">
        <w:t xml:space="preserve">and </w:t>
      </w:r>
      <w:r w:rsidRPr="002117A9">
        <w:t>presenc</w:t>
      </w:r>
      <w:r w:rsidR="00CF5CC4">
        <w:t>e of natural water features</w:t>
      </w:r>
      <w:r>
        <w:t>;</w:t>
      </w:r>
    </w:p>
    <w:p w:rsidR="00CF46B4" w:rsidRPr="002117A9" w:rsidRDefault="00CF46B4" w:rsidP="00CF46B4">
      <w:pPr>
        <w:pStyle w:val="ListParagraph"/>
        <w:spacing w:after="0" w:line="240" w:lineRule="auto"/>
        <w:ind w:left="450" w:hanging="450"/>
        <w:jc w:val="both"/>
        <w:rPr>
          <w:b/>
          <w:i/>
        </w:rPr>
      </w:pPr>
    </w:p>
    <w:p w:rsidR="00CF46B4" w:rsidRPr="00A55092" w:rsidRDefault="00CF46B4" w:rsidP="00CF46B4">
      <w:pPr>
        <w:pStyle w:val="ListParagraph"/>
        <w:numPr>
          <w:ilvl w:val="0"/>
          <w:numId w:val="18"/>
        </w:numPr>
        <w:spacing w:after="0" w:line="240" w:lineRule="auto"/>
        <w:ind w:left="450" w:hanging="450"/>
        <w:jc w:val="both"/>
        <w:rPr>
          <w:b/>
          <w:i/>
        </w:rPr>
      </w:pPr>
      <w:r>
        <w:t>R</w:t>
      </w:r>
      <w:r w:rsidRPr="002117A9">
        <w:t>elevant stakeholders in submitting views regarding the suitability of the sites</w:t>
      </w:r>
      <w:r>
        <w:t>;</w:t>
      </w:r>
    </w:p>
    <w:p w:rsidR="00CF46B4" w:rsidRPr="00781B3F" w:rsidRDefault="00CF46B4" w:rsidP="00CF46B4">
      <w:pPr>
        <w:pStyle w:val="ListParagraph"/>
        <w:spacing w:after="0" w:line="240" w:lineRule="auto"/>
        <w:ind w:left="450" w:hanging="450"/>
        <w:rPr>
          <w:b/>
          <w:i/>
        </w:rPr>
      </w:pPr>
    </w:p>
    <w:p w:rsidR="00CF46B4" w:rsidRPr="00E7633C" w:rsidRDefault="00CF46B4" w:rsidP="00CF46B4">
      <w:pPr>
        <w:pStyle w:val="ListParagraph"/>
        <w:numPr>
          <w:ilvl w:val="0"/>
          <w:numId w:val="18"/>
        </w:numPr>
        <w:spacing w:after="0" w:line="240" w:lineRule="auto"/>
        <w:ind w:left="450" w:hanging="450"/>
        <w:jc w:val="both"/>
        <w:rPr>
          <w:szCs w:val="24"/>
        </w:rPr>
      </w:pPr>
      <w:r w:rsidRPr="002117A9">
        <w:t>Sugar Estat</w:t>
      </w:r>
      <w:r w:rsidR="00CF5CC4">
        <w:t>es in submitting survey reports;</w:t>
      </w:r>
    </w:p>
    <w:p w:rsidR="00E7633C" w:rsidRPr="00E7633C" w:rsidRDefault="00E7633C" w:rsidP="00E7633C">
      <w:pPr>
        <w:spacing w:after="0" w:line="240" w:lineRule="auto"/>
        <w:jc w:val="both"/>
        <w:rPr>
          <w:szCs w:val="24"/>
        </w:rPr>
      </w:pPr>
    </w:p>
    <w:p w:rsidR="00CF46B4" w:rsidRPr="00781B3F" w:rsidRDefault="00CF46B4" w:rsidP="00CF46B4">
      <w:pPr>
        <w:pStyle w:val="ListParagraph"/>
        <w:numPr>
          <w:ilvl w:val="0"/>
          <w:numId w:val="18"/>
        </w:numPr>
        <w:spacing w:after="0" w:line="240" w:lineRule="auto"/>
        <w:ind w:left="450" w:hanging="450"/>
        <w:jc w:val="both"/>
        <w:rPr>
          <w:szCs w:val="24"/>
        </w:rPr>
      </w:pPr>
      <w:proofErr w:type="gramStart"/>
      <w:r w:rsidRPr="002117A9">
        <w:t>in</w:t>
      </w:r>
      <w:proofErr w:type="gramEnd"/>
      <w:r w:rsidRPr="002117A9">
        <w:t xml:space="preserve"> finalization of title deeds at the level of Notaries</w:t>
      </w:r>
      <w:r w:rsidR="00CF5CC4">
        <w:t>.</w:t>
      </w:r>
    </w:p>
    <w:p w:rsidR="00CF46B4" w:rsidRPr="006F0CBB" w:rsidRDefault="00CF46B4" w:rsidP="00CF46B4">
      <w:pPr>
        <w:spacing w:after="0" w:line="240" w:lineRule="auto"/>
        <w:rPr>
          <w:szCs w:val="24"/>
        </w:rPr>
      </w:pPr>
    </w:p>
    <w:p w:rsidR="00CF46B4" w:rsidRDefault="00CF46B4" w:rsidP="00CF46B4">
      <w:pPr>
        <w:spacing w:after="0" w:line="240" w:lineRule="auto"/>
        <w:jc w:val="both"/>
      </w:pPr>
      <w:r w:rsidRPr="00781B3F">
        <w:t xml:space="preserve">Remaining extents of land have already been identified and consultation has been held by relevant stakeholders to assess suitability of sites. The Survey Division is undertaking surveys for all identified plots of land to ease the process instead of waiting for the Sugar </w:t>
      </w:r>
      <w:r w:rsidRPr="00781B3F">
        <w:lastRenderedPageBreak/>
        <w:t>Estates to do so. We are pressing upon the Sugar Estates to submit relevant documents but to no avail as this is not t</w:t>
      </w:r>
      <w:r>
        <w:t>heir priority.</w:t>
      </w:r>
    </w:p>
    <w:p w:rsidR="00CF46B4" w:rsidRDefault="00CF46B4" w:rsidP="00CF46B4">
      <w:pPr>
        <w:pStyle w:val="ListParagraph"/>
        <w:spacing w:after="0" w:line="240" w:lineRule="auto"/>
        <w:ind w:left="450"/>
        <w:jc w:val="both"/>
      </w:pPr>
    </w:p>
    <w:p w:rsidR="00A97204" w:rsidRPr="00781B3F" w:rsidRDefault="00A97204" w:rsidP="00CF46B4">
      <w:pPr>
        <w:pStyle w:val="ListParagraph"/>
        <w:spacing w:after="0" w:line="240" w:lineRule="auto"/>
        <w:ind w:left="450"/>
        <w:jc w:val="both"/>
      </w:pPr>
    </w:p>
    <w:p w:rsidR="00CF46B4" w:rsidRDefault="00CF46B4" w:rsidP="00CF46B4">
      <w:pPr>
        <w:spacing w:after="0" w:line="240" w:lineRule="auto"/>
        <w:rPr>
          <w:b/>
          <w:szCs w:val="24"/>
        </w:rPr>
      </w:pPr>
      <w:r>
        <w:rPr>
          <w:b/>
          <w:szCs w:val="24"/>
        </w:rPr>
        <w:t>4.4</w:t>
      </w:r>
      <w:r>
        <w:rPr>
          <w:b/>
          <w:szCs w:val="24"/>
        </w:rPr>
        <w:tab/>
      </w:r>
      <w:r w:rsidRPr="00AF4B68">
        <w:rPr>
          <w:b/>
          <w:szCs w:val="24"/>
        </w:rPr>
        <w:t>Acquisition of Lands</w:t>
      </w:r>
    </w:p>
    <w:p w:rsidR="00CF46B4" w:rsidRPr="00AF4B68" w:rsidRDefault="00CF46B4" w:rsidP="00CF46B4">
      <w:pPr>
        <w:spacing w:after="0" w:line="240" w:lineRule="auto"/>
        <w:rPr>
          <w:b/>
          <w:szCs w:val="24"/>
        </w:rPr>
      </w:pPr>
    </w:p>
    <w:p w:rsidR="00CF46B4" w:rsidRDefault="00CF46B4" w:rsidP="00CF46B4">
      <w:pPr>
        <w:spacing w:after="0" w:line="240" w:lineRule="auto"/>
        <w:jc w:val="both"/>
        <w:rPr>
          <w:szCs w:val="24"/>
        </w:rPr>
      </w:pPr>
      <w:r w:rsidRPr="0035063B">
        <w:rPr>
          <w:szCs w:val="24"/>
        </w:rPr>
        <w:t xml:space="preserve">The Ministry disbursed </w:t>
      </w:r>
      <w:r w:rsidRPr="0035063B">
        <w:rPr>
          <w:rFonts w:eastAsia="Times New Roman"/>
          <w:color w:val="000000"/>
          <w:szCs w:val="24"/>
        </w:rPr>
        <w:t>Rs</w:t>
      </w:r>
      <w:r>
        <w:rPr>
          <w:rFonts w:eastAsia="Times New Roman"/>
          <w:color w:val="000000"/>
          <w:szCs w:val="24"/>
        </w:rPr>
        <w:t xml:space="preserve"> 3,051.6 </w:t>
      </w:r>
      <w:r w:rsidRPr="0035063B">
        <w:rPr>
          <w:rFonts w:eastAsia="Times New Roman"/>
          <w:color w:val="000000"/>
          <w:szCs w:val="24"/>
        </w:rPr>
        <w:t xml:space="preserve">million </w:t>
      </w:r>
      <w:r>
        <w:rPr>
          <w:rFonts w:eastAsia="Times New Roman"/>
          <w:color w:val="000000"/>
          <w:szCs w:val="24"/>
        </w:rPr>
        <w:t xml:space="preserve">between January 2013 and June 2017 for acquisition of lands including compensations and interests </w:t>
      </w:r>
      <w:r w:rsidRPr="0035063B">
        <w:rPr>
          <w:rFonts w:eastAsia="Times New Roman"/>
          <w:color w:val="000000"/>
          <w:szCs w:val="24"/>
        </w:rPr>
        <w:t xml:space="preserve">of Rs 522.5 million and Rs 113.6 million </w:t>
      </w:r>
      <w:r>
        <w:rPr>
          <w:rFonts w:eastAsia="Times New Roman"/>
          <w:color w:val="000000"/>
          <w:szCs w:val="24"/>
        </w:rPr>
        <w:t xml:space="preserve">for </w:t>
      </w:r>
      <w:r w:rsidRPr="0035063B">
        <w:rPr>
          <w:rFonts w:eastAsia="Times New Roman"/>
          <w:color w:val="000000"/>
          <w:szCs w:val="24"/>
        </w:rPr>
        <w:t>2016-17</w:t>
      </w:r>
      <w:r>
        <w:rPr>
          <w:rFonts w:eastAsia="Times New Roman"/>
          <w:color w:val="000000"/>
          <w:szCs w:val="24"/>
        </w:rPr>
        <w:t xml:space="preserve"> </w:t>
      </w:r>
      <w:r w:rsidRPr="0035063B">
        <w:rPr>
          <w:rFonts w:eastAsia="Times New Roman"/>
          <w:color w:val="000000"/>
          <w:szCs w:val="24"/>
        </w:rPr>
        <w:t>respectively</w:t>
      </w:r>
      <w:r>
        <w:rPr>
          <w:rFonts w:eastAsia="Times New Roman"/>
          <w:color w:val="000000"/>
          <w:szCs w:val="24"/>
        </w:rPr>
        <w:t>, as shown in Table 4-2</w:t>
      </w:r>
      <w:r w:rsidR="00E43BEE">
        <w:rPr>
          <w:rFonts w:eastAsia="Times New Roman"/>
          <w:color w:val="000000"/>
          <w:szCs w:val="24"/>
        </w:rPr>
        <w:t>.</w:t>
      </w:r>
    </w:p>
    <w:p w:rsidR="00CF46B4" w:rsidRPr="0035063B" w:rsidRDefault="00CF46B4" w:rsidP="00CF46B4">
      <w:pPr>
        <w:spacing w:after="0" w:line="240" w:lineRule="auto"/>
        <w:jc w:val="both"/>
        <w:rPr>
          <w:b/>
          <w:color w:val="000000"/>
          <w:szCs w:val="24"/>
        </w:rPr>
      </w:pPr>
    </w:p>
    <w:p w:rsidR="00CF46B4" w:rsidRDefault="00CF46B4" w:rsidP="00E43BEE">
      <w:pPr>
        <w:spacing w:after="0" w:line="240" w:lineRule="auto"/>
        <w:jc w:val="center"/>
        <w:rPr>
          <w:i/>
          <w:szCs w:val="24"/>
        </w:rPr>
      </w:pPr>
      <w:r w:rsidRPr="00E81D8E">
        <w:rPr>
          <w:i/>
          <w:szCs w:val="24"/>
        </w:rPr>
        <w:t>Table</w:t>
      </w:r>
      <w:r>
        <w:rPr>
          <w:i/>
          <w:szCs w:val="24"/>
        </w:rPr>
        <w:t xml:space="preserve"> </w:t>
      </w:r>
      <w:bookmarkStart w:id="2" w:name="_Hlk507248922"/>
      <w:r>
        <w:rPr>
          <w:i/>
          <w:szCs w:val="24"/>
        </w:rPr>
        <w:t>4-</w:t>
      </w:r>
      <w:proofErr w:type="gramStart"/>
      <w:r>
        <w:rPr>
          <w:i/>
          <w:szCs w:val="24"/>
        </w:rPr>
        <w:t xml:space="preserve">2 </w:t>
      </w:r>
      <w:r w:rsidRPr="00E81D8E">
        <w:rPr>
          <w:i/>
          <w:szCs w:val="24"/>
        </w:rPr>
        <w:t xml:space="preserve"> </w:t>
      </w:r>
      <w:r>
        <w:rPr>
          <w:i/>
          <w:szCs w:val="24"/>
        </w:rPr>
        <w:t>Disbursement</w:t>
      </w:r>
      <w:proofErr w:type="gramEnd"/>
      <w:r>
        <w:rPr>
          <w:i/>
          <w:szCs w:val="24"/>
        </w:rPr>
        <w:t xml:space="preserve"> of Funds</w:t>
      </w:r>
      <w:r w:rsidRPr="00E81D8E">
        <w:rPr>
          <w:i/>
          <w:szCs w:val="24"/>
        </w:rPr>
        <w:t xml:space="preserve"> between January 2013 and June 2017</w:t>
      </w:r>
      <w:bookmarkEnd w:id="2"/>
    </w:p>
    <w:p w:rsidR="00E43BEE" w:rsidRDefault="00E43BEE" w:rsidP="00E43BEE">
      <w:pPr>
        <w:spacing w:after="0" w:line="240" w:lineRule="auto"/>
        <w:jc w:val="center"/>
        <w:rPr>
          <w:i/>
          <w:szCs w:val="24"/>
        </w:rPr>
      </w:pPr>
    </w:p>
    <w:p w:rsidR="00E43BEE" w:rsidRDefault="00E43BEE" w:rsidP="00E43BEE">
      <w:pPr>
        <w:pBdr>
          <w:top w:val="single" w:sz="4" w:space="1" w:color="auto"/>
        </w:pBdr>
        <w:spacing w:after="0" w:line="240" w:lineRule="auto"/>
        <w:jc w:val="center"/>
        <w:rPr>
          <w:i/>
          <w:szCs w:val="24"/>
        </w:rPr>
      </w:pPr>
    </w:p>
    <w:tbl>
      <w:tblPr>
        <w:tblW w:w="9216" w:type="dxa"/>
        <w:tblLook w:val="04A0" w:firstRow="1" w:lastRow="0" w:firstColumn="1" w:lastColumn="0" w:noHBand="0" w:noVBand="1"/>
      </w:tblPr>
      <w:tblGrid>
        <w:gridCol w:w="1694"/>
        <w:gridCol w:w="1216"/>
        <w:gridCol w:w="1275"/>
        <w:gridCol w:w="1331"/>
        <w:gridCol w:w="1265"/>
        <w:gridCol w:w="1237"/>
        <w:gridCol w:w="1198"/>
      </w:tblGrid>
      <w:tr w:rsidR="00CF46B4" w:rsidRPr="00AF4B68" w:rsidTr="00E7633C">
        <w:trPr>
          <w:trHeight w:val="600"/>
        </w:trPr>
        <w:tc>
          <w:tcPr>
            <w:tcW w:w="1694" w:type="dxa"/>
            <w:shd w:val="clear" w:color="auto" w:fill="auto"/>
            <w:noWrap/>
            <w:vAlign w:val="bottom"/>
            <w:hideMark/>
          </w:tcPr>
          <w:p w:rsidR="00CF46B4" w:rsidRPr="00AF4B68" w:rsidRDefault="00CF46B4" w:rsidP="00CF46B4">
            <w:pPr>
              <w:spacing w:before="40" w:after="40" w:line="240" w:lineRule="auto"/>
              <w:rPr>
                <w:rFonts w:eastAsia="Times New Roman"/>
                <w:color w:val="000000"/>
                <w:szCs w:val="24"/>
              </w:rPr>
            </w:pPr>
          </w:p>
        </w:tc>
        <w:tc>
          <w:tcPr>
            <w:tcW w:w="1216" w:type="dxa"/>
            <w:shd w:val="clear" w:color="auto" w:fill="auto"/>
            <w:vAlign w:val="bottom"/>
            <w:hideMark/>
          </w:tcPr>
          <w:p w:rsidR="00CF46B4" w:rsidRPr="00AF4B68" w:rsidRDefault="00CF46B4" w:rsidP="00CF46B4">
            <w:pPr>
              <w:spacing w:before="40" w:after="40" w:line="240" w:lineRule="auto"/>
              <w:jc w:val="center"/>
              <w:rPr>
                <w:rFonts w:eastAsia="Times New Roman"/>
                <w:b/>
                <w:bCs/>
                <w:color w:val="000000"/>
                <w:szCs w:val="24"/>
              </w:rPr>
            </w:pPr>
            <w:r w:rsidRPr="00AF4B68">
              <w:rPr>
                <w:rFonts w:eastAsia="Times New Roman"/>
                <w:b/>
                <w:bCs/>
                <w:color w:val="000000"/>
                <w:szCs w:val="24"/>
              </w:rPr>
              <w:t>Jan-Dec 2013</w:t>
            </w:r>
          </w:p>
          <w:p w:rsidR="00CF46B4" w:rsidRPr="00AF4B68" w:rsidRDefault="00CF46B4" w:rsidP="00CF46B4">
            <w:pPr>
              <w:spacing w:before="40" w:after="40" w:line="240" w:lineRule="auto"/>
              <w:jc w:val="center"/>
              <w:rPr>
                <w:rFonts w:eastAsia="Times New Roman"/>
                <w:b/>
                <w:bCs/>
                <w:color w:val="000000"/>
                <w:szCs w:val="24"/>
              </w:rPr>
            </w:pPr>
            <w:r>
              <w:rPr>
                <w:rFonts w:eastAsia="Times New Roman"/>
                <w:b/>
                <w:bCs/>
                <w:color w:val="000000"/>
                <w:szCs w:val="24"/>
              </w:rPr>
              <w:t>(</w:t>
            </w:r>
            <w:r w:rsidRPr="00AF4B68">
              <w:rPr>
                <w:rFonts w:eastAsia="Times New Roman"/>
                <w:b/>
                <w:bCs/>
                <w:color w:val="000000"/>
                <w:szCs w:val="24"/>
              </w:rPr>
              <w:t>Rs</w:t>
            </w:r>
            <w:r>
              <w:rPr>
                <w:rFonts w:eastAsia="Times New Roman"/>
                <w:b/>
                <w:bCs/>
                <w:color w:val="000000"/>
                <w:szCs w:val="24"/>
              </w:rPr>
              <w:t xml:space="preserve"> m)</w:t>
            </w:r>
          </w:p>
        </w:tc>
        <w:tc>
          <w:tcPr>
            <w:tcW w:w="1275" w:type="dxa"/>
            <w:shd w:val="clear" w:color="auto" w:fill="auto"/>
            <w:vAlign w:val="bottom"/>
            <w:hideMark/>
          </w:tcPr>
          <w:p w:rsidR="00CF46B4" w:rsidRPr="00AF4B68" w:rsidRDefault="00CF46B4" w:rsidP="00CF46B4">
            <w:pPr>
              <w:spacing w:before="40" w:after="40" w:line="240" w:lineRule="auto"/>
              <w:jc w:val="center"/>
              <w:rPr>
                <w:rFonts w:eastAsia="Times New Roman"/>
                <w:b/>
                <w:bCs/>
                <w:color w:val="000000"/>
                <w:szCs w:val="24"/>
              </w:rPr>
            </w:pPr>
            <w:r w:rsidRPr="00AF4B68">
              <w:rPr>
                <w:rFonts w:eastAsia="Times New Roman"/>
                <w:b/>
                <w:bCs/>
                <w:color w:val="000000"/>
                <w:szCs w:val="24"/>
              </w:rPr>
              <w:t>Jan- Dec 2014</w:t>
            </w:r>
          </w:p>
          <w:p w:rsidR="00CF46B4" w:rsidRPr="00AF4B68" w:rsidRDefault="00CF46B4" w:rsidP="00CF46B4">
            <w:pPr>
              <w:spacing w:before="40" w:after="40" w:line="240" w:lineRule="auto"/>
              <w:jc w:val="center"/>
              <w:rPr>
                <w:rFonts w:eastAsia="Times New Roman"/>
                <w:b/>
                <w:bCs/>
                <w:color w:val="000000"/>
                <w:szCs w:val="24"/>
              </w:rPr>
            </w:pPr>
            <w:r>
              <w:rPr>
                <w:rFonts w:eastAsia="Times New Roman"/>
                <w:b/>
                <w:bCs/>
                <w:color w:val="000000"/>
                <w:szCs w:val="24"/>
              </w:rPr>
              <w:t>(</w:t>
            </w:r>
            <w:r w:rsidRPr="00AF4B68">
              <w:rPr>
                <w:rFonts w:eastAsia="Times New Roman"/>
                <w:b/>
                <w:bCs/>
                <w:color w:val="000000"/>
                <w:szCs w:val="24"/>
              </w:rPr>
              <w:t>Rs</w:t>
            </w:r>
            <w:r>
              <w:rPr>
                <w:rFonts w:eastAsia="Times New Roman"/>
                <w:b/>
                <w:bCs/>
                <w:color w:val="000000"/>
                <w:szCs w:val="24"/>
              </w:rPr>
              <w:t xml:space="preserve"> m)</w:t>
            </w:r>
          </w:p>
        </w:tc>
        <w:tc>
          <w:tcPr>
            <w:tcW w:w="1331" w:type="dxa"/>
            <w:shd w:val="clear" w:color="auto" w:fill="auto"/>
            <w:vAlign w:val="bottom"/>
            <w:hideMark/>
          </w:tcPr>
          <w:p w:rsidR="00CF46B4" w:rsidRPr="00AF4B68" w:rsidRDefault="00CF46B4" w:rsidP="00CF46B4">
            <w:pPr>
              <w:spacing w:before="40" w:after="40" w:line="240" w:lineRule="auto"/>
              <w:jc w:val="center"/>
              <w:rPr>
                <w:rFonts w:eastAsia="Times New Roman"/>
                <w:b/>
                <w:bCs/>
                <w:color w:val="000000"/>
                <w:szCs w:val="24"/>
              </w:rPr>
            </w:pPr>
            <w:r>
              <w:rPr>
                <w:rFonts w:eastAsia="Times New Roman"/>
                <w:b/>
                <w:bCs/>
                <w:color w:val="000000"/>
                <w:szCs w:val="24"/>
              </w:rPr>
              <w:t>J</w:t>
            </w:r>
            <w:r w:rsidRPr="00AF4B68">
              <w:rPr>
                <w:rFonts w:eastAsia="Times New Roman"/>
                <w:b/>
                <w:bCs/>
                <w:color w:val="000000"/>
                <w:szCs w:val="24"/>
              </w:rPr>
              <w:t>an-June 2015</w:t>
            </w:r>
          </w:p>
          <w:p w:rsidR="00CF46B4" w:rsidRPr="00AF4B68" w:rsidRDefault="00CF46B4" w:rsidP="00CF46B4">
            <w:pPr>
              <w:spacing w:before="40" w:after="40" w:line="240" w:lineRule="auto"/>
              <w:jc w:val="center"/>
              <w:rPr>
                <w:rFonts w:eastAsia="Times New Roman"/>
                <w:b/>
                <w:bCs/>
                <w:color w:val="000000"/>
                <w:szCs w:val="24"/>
              </w:rPr>
            </w:pPr>
            <w:r>
              <w:rPr>
                <w:rFonts w:eastAsia="Times New Roman"/>
                <w:b/>
                <w:bCs/>
                <w:color w:val="000000"/>
                <w:szCs w:val="24"/>
              </w:rPr>
              <w:t>(</w:t>
            </w:r>
            <w:r w:rsidRPr="00AF4B68">
              <w:rPr>
                <w:rFonts w:eastAsia="Times New Roman"/>
                <w:b/>
                <w:bCs/>
                <w:color w:val="000000"/>
                <w:szCs w:val="24"/>
              </w:rPr>
              <w:t>Rs</w:t>
            </w:r>
            <w:r>
              <w:rPr>
                <w:rFonts w:eastAsia="Times New Roman"/>
                <w:b/>
                <w:bCs/>
                <w:color w:val="000000"/>
                <w:szCs w:val="24"/>
              </w:rPr>
              <w:t xml:space="preserve"> m)</w:t>
            </w:r>
          </w:p>
        </w:tc>
        <w:tc>
          <w:tcPr>
            <w:tcW w:w="1265" w:type="dxa"/>
            <w:shd w:val="clear" w:color="auto" w:fill="auto"/>
            <w:vAlign w:val="bottom"/>
            <w:hideMark/>
          </w:tcPr>
          <w:p w:rsidR="00CF46B4" w:rsidRPr="00AF4B68" w:rsidRDefault="00CF46B4" w:rsidP="00CF46B4">
            <w:pPr>
              <w:spacing w:before="40" w:after="40" w:line="240" w:lineRule="auto"/>
              <w:jc w:val="center"/>
              <w:rPr>
                <w:rFonts w:eastAsia="Times New Roman"/>
                <w:b/>
                <w:bCs/>
                <w:color w:val="000000"/>
                <w:szCs w:val="24"/>
              </w:rPr>
            </w:pPr>
            <w:r>
              <w:rPr>
                <w:rFonts w:eastAsia="Times New Roman"/>
                <w:b/>
                <w:bCs/>
                <w:color w:val="000000"/>
                <w:szCs w:val="24"/>
              </w:rPr>
              <w:t>Jul 2015-June 2016 (</w:t>
            </w:r>
            <w:r w:rsidRPr="00AF4B68">
              <w:rPr>
                <w:rFonts w:eastAsia="Times New Roman"/>
                <w:b/>
                <w:bCs/>
                <w:color w:val="000000"/>
                <w:szCs w:val="24"/>
              </w:rPr>
              <w:t xml:space="preserve">Rs </w:t>
            </w:r>
            <w:r>
              <w:rPr>
                <w:rFonts w:eastAsia="Times New Roman"/>
                <w:b/>
                <w:bCs/>
                <w:color w:val="000000"/>
                <w:szCs w:val="24"/>
              </w:rPr>
              <w:t>m)</w:t>
            </w:r>
          </w:p>
        </w:tc>
        <w:tc>
          <w:tcPr>
            <w:tcW w:w="1237" w:type="dxa"/>
            <w:shd w:val="clear" w:color="auto" w:fill="auto"/>
            <w:vAlign w:val="bottom"/>
            <w:hideMark/>
          </w:tcPr>
          <w:p w:rsidR="00CF46B4" w:rsidRPr="00AF4B68" w:rsidRDefault="00CF46B4" w:rsidP="00CF46B4">
            <w:pPr>
              <w:spacing w:before="40" w:after="40" w:line="240" w:lineRule="auto"/>
              <w:jc w:val="center"/>
              <w:rPr>
                <w:rFonts w:eastAsia="Times New Roman"/>
                <w:b/>
                <w:bCs/>
                <w:color w:val="000000"/>
                <w:szCs w:val="24"/>
              </w:rPr>
            </w:pPr>
            <w:r w:rsidRPr="00AF4B68">
              <w:rPr>
                <w:rFonts w:eastAsia="Times New Roman"/>
                <w:b/>
                <w:bCs/>
                <w:color w:val="000000"/>
                <w:szCs w:val="24"/>
              </w:rPr>
              <w:t>Jul 2016-June 2017</w:t>
            </w:r>
          </w:p>
          <w:p w:rsidR="00CF46B4" w:rsidRPr="00AF4B68" w:rsidRDefault="00CF46B4" w:rsidP="00CF46B4">
            <w:pPr>
              <w:spacing w:before="40" w:after="40" w:line="240" w:lineRule="auto"/>
              <w:jc w:val="center"/>
              <w:rPr>
                <w:rFonts w:eastAsia="Times New Roman"/>
                <w:b/>
                <w:bCs/>
                <w:color w:val="000000"/>
                <w:szCs w:val="24"/>
              </w:rPr>
            </w:pPr>
            <w:r>
              <w:rPr>
                <w:rFonts w:eastAsia="Times New Roman"/>
                <w:b/>
                <w:bCs/>
                <w:color w:val="000000"/>
                <w:szCs w:val="24"/>
              </w:rPr>
              <w:t>(</w:t>
            </w:r>
            <w:r w:rsidRPr="00AF4B68">
              <w:rPr>
                <w:rFonts w:eastAsia="Times New Roman"/>
                <w:b/>
                <w:bCs/>
                <w:color w:val="000000"/>
                <w:szCs w:val="24"/>
              </w:rPr>
              <w:t xml:space="preserve">Rs </w:t>
            </w:r>
            <w:r>
              <w:rPr>
                <w:rFonts w:eastAsia="Times New Roman"/>
                <w:b/>
                <w:bCs/>
                <w:color w:val="000000"/>
                <w:szCs w:val="24"/>
              </w:rPr>
              <w:t>m)</w:t>
            </w:r>
          </w:p>
        </w:tc>
        <w:tc>
          <w:tcPr>
            <w:tcW w:w="1198" w:type="dxa"/>
            <w:shd w:val="clear" w:color="auto" w:fill="auto"/>
            <w:noWrap/>
            <w:vAlign w:val="center"/>
            <w:hideMark/>
          </w:tcPr>
          <w:p w:rsidR="00E7633C" w:rsidRDefault="00E7633C" w:rsidP="00CF46B4">
            <w:pPr>
              <w:spacing w:before="40" w:after="40" w:line="240" w:lineRule="auto"/>
              <w:jc w:val="center"/>
              <w:rPr>
                <w:rFonts w:eastAsia="Times New Roman"/>
                <w:b/>
                <w:bCs/>
                <w:color w:val="000000"/>
                <w:szCs w:val="24"/>
              </w:rPr>
            </w:pPr>
          </w:p>
          <w:p w:rsidR="00CF46B4" w:rsidRDefault="00CF46B4" w:rsidP="00E7633C">
            <w:pPr>
              <w:spacing w:before="40" w:after="40" w:line="240" w:lineRule="auto"/>
              <w:jc w:val="center"/>
              <w:rPr>
                <w:rFonts w:eastAsia="Times New Roman"/>
                <w:b/>
                <w:bCs/>
                <w:color w:val="000000"/>
                <w:szCs w:val="24"/>
              </w:rPr>
            </w:pPr>
            <w:r w:rsidRPr="00AF4B68">
              <w:rPr>
                <w:rFonts w:eastAsia="Times New Roman"/>
                <w:b/>
                <w:bCs/>
                <w:color w:val="000000"/>
                <w:szCs w:val="24"/>
              </w:rPr>
              <w:t>Total</w:t>
            </w:r>
          </w:p>
          <w:p w:rsidR="00E7633C" w:rsidRDefault="00E7633C" w:rsidP="00CF46B4">
            <w:pPr>
              <w:spacing w:before="40" w:after="40" w:line="240" w:lineRule="auto"/>
              <w:jc w:val="center"/>
              <w:rPr>
                <w:rFonts w:eastAsia="Times New Roman"/>
                <w:b/>
                <w:bCs/>
                <w:color w:val="000000"/>
                <w:szCs w:val="24"/>
              </w:rPr>
            </w:pPr>
          </w:p>
          <w:p w:rsidR="00CF46B4" w:rsidRPr="00AF4B68" w:rsidRDefault="00CF46B4" w:rsidP="00CF46B4">
            <w:pPr>
              <w:spacing w:before="40" w:after="40" w:line="240" w:lineRule="auto"/>
              <w:jc w:val="center"/>
              <w:rPr>
                <w:rFonts w:eastAsia="Times New Roman"/>
                <w:b/>
                <w:bCs/>
                <w:color w:val="000000"/>
                <w:szCs w:val="24"/>
              </w:rPr>
            </w:pPr>
            <w:r>
              <w:rPr>
                <w:rFonts w:eastAsia="Times New Roman"/>
                <w:b/>
                <w:bCs/>
                <w:color w:val="000000"/>
                <w:szCs w:val="24"/>
              </w:rPr>
              <w:t>(R</w:t>
            </w:r>
            <w:r w:rsidRPr="00AF4B68">
              <w:rPr>
                <w:rFonts w:eastAsia="Times New Roman"/>
                <w:b/>
                <w:bCs/>
                <w:color w:val="000000"/>
                <w:szCs w:val="24"/>
              </w:rPr>
              <w:t xml:space="preserve">s </w:t>
            </w:r>
            <w:r>
              <w:rPr>
                <w:rFonts w:eastAsia="Times New Roman"/>
                <w:b/>
                <w:bCs/>
                <w:color w:val="000000"/>
                <w:szCs w:val="24"/>
              </w:rPr>
              <w:t>m)</w:t>
            </w:r>
          </w:p>
        </w:tc>
      </w:tr>
      <w:tr w:rsidR="00CF46B4" w:rsidRPr="00AF4B68" w:rsidTr="005F6086">
        <w:trPr>
          <w:trHeight w:val="20"/>
        </w:trPr>
        <w:tc>
          <w:tcPr>
            <w:tcW w:w="1694" w:type="dxa"/>
            <w:shd w:val="clear" w:color="auto" w:fill="auto"/>
            <w:noWrap/>
            <w:tcMar>
              <w:bottom w:w="142" w:type="dxa"/>
            </w:tcMar>
            <w:vAlign w:val="bottom"/>
            <w:hideMark/>
          </w:tcPr>
          <w:p w:rsidR="00CF46B4" w:rsidRPr="00AF4B68" w:rsidRDefault="00CF46B4" w:rsidP="00CF46B4">
            <w:pPr>
              <w:spacing w:before="40" w:after="40" w:line="240" w:lineRule="auto"/>
              <w:rPr>
                <w:rFonts w:eastAsia="Times New Roman"/>
                <w:color w:val="000000"/>
                <w:szCs w:val="24"/>
              </w:rPr>
            </w:pPr>
            <w:r w:rsidRPr="00AF4B68">
              <w:rPr>
                <w:rFonts w:eastAsia="Times New Roman"/>
                <w:color w:val="000000"/>
                <w:szCs w:val="24"/>
              </w:rPr>
              <w:t>Compensation</w:t>
            </w:r>
          </w:p>
        </w:tc>
        <w:tc>
          <w:tcPr>
            <w:tcW w:w="1216" w:type="dxa"/>
            <w:shd w:val="clear" w:color="auto" w:fill="auto"/>
            <w:noWrap/>
            <w:tcMar>
              <w:bottom w:w="142" w:type="dxa"/>
            </w:tcMar>
            <w:vAlign w:val="bottom"/>
            <w:hideMark/>
          </w:tcPr>
          <w:p w:rsidR="00CF46B4" w:rsidRPr="00AF4B68" w:rsidRDefault="00CF46B4" w:rsidP="00CF46B4">
            <w:pPr>
              <w:spacing w:before="40" w:after="40" w:line="240" w:lineRule="auto"/>
              <w:ind w:right="266"/>
              <w:jc w:val="right"/>
              <w:rPr>
                <w:rFonts w:eastAsia="Times New Roman"/>
                <w:color w:val="000000"/>
                <w:szCs w:val="24"/>
              </w:rPr>
            </w:pPr>
            <w:r w:rsidRPr="00AF4B68">
              <w:rPr>
                <w:rFonts w:eastAsia="Times New Roman"/>
                <w:color w:val="000000"/>
                <w:szCs w:val="24"/>
              </w:rPr>
              <w:t>422.6</w:t>
            </w:r>
          </w:p>
        </w:tc>
        <w:tc>
          <w:tcPr>
            <w:tcW w:w="1275" w:type="dxa"/>
            <w:shd w:val="clear" w:color="auto" w:fill="auto"/>
            <w:noWrap/>
            <w:tcMar>
              <w:bottom w:w="142" w:type="dxa"/>
            </w:tcMar>
            <w:vAlign w:val="bottom"/>
            <w:hideMark/>
          </w:tcPr>
          <w:p w:rsidR="00CF46B4" w:rsidRPr="00AF4B68" w:rsidRDefault="00CF46B4" w:rsidP="00CF46B4">
            <w:pPr>
              <w:spacing w:before="40" w:after="40" w:line="240" w:lineRule="auto"/>
              <w:ind w:right="225"/>
              <w:jc w:val="right"/>
              <w:rPr>
                <w:rFonts w:eastAsia="Times New Roman"/>
                <w:color w:val="000000"/>
                <w:szCs w:val="24"/>
              </w:rPr>
            </w:pPr>
            <w:r w:rsidRPr="00AF4B68">
              <w:rPr>
                <w:rFonts w:eastAsia="Times New Roman"/>
                <w:color w:val="000000"/>
                <w:szCs w:val="24"/>
              </w:rPr>
              <w:t>938.4</w:t>
            </w:r>
          </w:p>
        </w:tc>
        <w:tc>
          <w:tcPr>
            <w:tcW w:w="1331" w:type="dxa"/>
            <w:shd w:val="clear" w:color="auto" w:fill="auto"/>
            <w:noWrap/>
            <w:tcMar>
              <w:bottom w:w="142" w:type="dxa"/>
            </w:tcMar>
            <w:vAlign w:val="bottom"/>
            <w:hideMark/>
          </w:tcPr>
          <w:p w:rsidR="00CF46B4" w:rsidRPr="00AF4B68" w:rsidRDefault="00CF46B4" w:rsidP="00CF46B4">
            <w:pPr>
              <w:tabs>
                <w:tab w:val="left" w:pos="729"/>
              </w:tabs>
              <w:spacing w:before="40" w:after="40" w:line="240" w:lineRule="auto"/>
              <w:ind w:right="180"/>
              <w:jc w:val="right"/>
              <w:rPr>
                <w:rFonts w:eastAsia="Times New Roman"/>
                <w:color w:val="000000"/>
                <w:szCs w:val="24"/>
              </w:rPr>
            </w:pPr>
            <w:r w:rsidRPr="00AF4B68">
              <w:rPr>
                <w:rFonts w:eastAsia="Times New Roman"/>
                <w:color w:val="000000"/>
                <w:szCs w:val="24"/>
              </w:rPr>
              <w:t>175.6</w:t>
            </w:r>
          </w:p>
        </w:tc>
        <w:tc>
          <w:tcPr>
            <w:tcW w:w="1265" w:type="dxa"/>
            <w:shd w:val="clear" w:color="auto" w:fill="auto"/>
            <w:noWrap/>
            <w:tcMar>
              <w:bottom w:w="142" w:type="dxa"/>
            </w:tcMar>
            <w:vAlign w:val="bottom"/>
            <w:hideMark/>
          </w:tcPr>
          <w:p w:rsidR="00CF46B4" w:rsidRPr="00AF4B68" w:rsidRDefault="00CF46B4" w:rsidP="00CF46B4">
            <w:pPr>
              <w:spacing w:before="40" w:after="40" w:line="240" w:lineRule="auto"/>
              <w:ind w:right="276"/>
              <w:jc w:val="right"/>
              <w:rPr>
                <w:rFonts w:eastAsia="Times New Roman"/>
                <w:color w:val="000000"/>
                <w:szCs w:val="24"/>
              </w:rPr>
            </w:pPr>
            <w:r w:rsidRPr="00AF4B68">
              <w:rPr>
                <w:rFonts w:eastAsia="Times New Roman"/>
                <w:color w:val="000000"/>
                <w:szCs w:val="24"/>
              </w:rPr>
              <w:t>434.0</w:t>
            </w:r>
          </w:p>
        </w:tc>
        <w:tc>
          <w:tcPr>
            <w:tcW w:w="1237" w:type="dxa"/>
            <w:shd w:val="clear" w:color="auto" w:fill="auto"/>
            <w:noWrap/>
            <w:tcMar>
              <w:bottom w:w="142" w:type="dxa"/>
            </w:tcMar>
            <w:vAlign w:val="bottom"/>
            <w:hideMark/>
          </w:tcPr>
          <w:p w:rsidR="00CF46B4" w:rsidRPr="00AF4B68" w:rsidRDefault="00CF46B4" w:rsidP="00CF46B4">
            <w:pPr>
              <w:spacing w:before="40" w:after="40" w:line="240" w:lineRule="auto"/>
              <w:ind w:right="252"/>
              <w:jc w:val="right"/>
              <w:rPr>
                <w:rFonts w:eastAsia="Times New Roman"/>
                <w:color w:val="000000"/>
                <w:szCs w:val="24"/>
              </w:rPr>
            </w:pPr>
            <w:r w:rsidRPr="00AF4B68">
              <w:rPr>
                <w:rFonts w:eastAsia="Times New Roman"/>
                <w:color w:val="000000"/>
                <w:szCs w:val="24"/>
              </w:rPr>
              <w:t>522.5</w:t>
            </w:r>
          </w:p>
        </w:tc>
        <w:tc>
          <w:tcPr>
            <w:tcW w:w="1198" w:type="dxa"/>
            <w:shd w:val="clear" w:color="auto" w:fill="auto"/>
            <w:noWrap/>
            <w:tcMar>
              <w:bottom w:w="142" w:type="dxa"/>
            </w:tcMar>
            <w:vAlign w:val="bottom"/>
            <w:hideMark/>
          </w:tcPr>
          <w:p w:rsidR="00CF46B4" w:rsidRPr="00AF4B68" w:rsidRDefault="00CF46B4" w:rsidP="00CF46B4">
            <w:pPr>
              <w:spacing w:before="40" w:after="40" w:line="240" w:lineRule="auto"/>
              <w:ind w:right="246"/>
              <w:jc w:val="right"/>
              <w:rPr>
                <w:rFonts w:eastAsia="Times New Roman"/>
                <w:b/>
                <w:color w:val="000000"/>
                <w:szCs w:val="24"/>
              </w:rPr>
            </w:pPr>
            <w:r w:rsidRPr="00AF4B68">
              <w:rPr>
                <w:rFonts w:eastAsia="Times New Roman"/>
                <w:b/>
                <w:color w:val="000000"/>
                <w:szCs w:val="24"/>
              </w:rPr>
              <w:t>2,493.1</w:t>
            </w:r>
          </w:p>
        </w:tc>
      </w:tr>
      <w:tr w:rsidR="00CF46B4" w:rsidRPr="00AF4B68" w:rsidTr="005F6086">
        <w:trPr>
          <w:trHeight w:val="20"/>
        </w:trPr>
        <w:tc>
          <w:tcPr>
            <w:tcW w:w="1694" w:type="dxa"/>
            <w:shd w:val="clear" w:color="auto" w:fill="auto"/>
            <w:noWrap/>
            <w:tcMar>
              <w:bottom w:w="142" w:type="dxa"/>
            </w:tcMar>
            <w:vAlign w:val="bottom"/>
            <w:hideMark/>
          </w:tcPr>
          <w:p w:rsidR="00CF46B4" w:rsidRPr="00AF4B68" w:rsidRDefault="00CF46B4" w:rsidP="00CF46B4">
            <w:pPr>
              <w:spacing w:before="40" w:after="40" w:line="240" w:lineRule="auto"/>
              <w:rPr>
                <w:rFonts w:eastAsia="Times New Roman"/>
                <w:color w:val="000000"/>
                <w:szCs w:val="24"/>
              </w:rPr>
            </w:pPr>
            <w:r w:rsidRPr="00AF4B68">
              <w:rPr>
                <w:rFonts w:eastAsia="Times New Roman"/>
                <w:color w:val="000000"/>
                <w:szCs w:val="24"/>
              </w:rPr>
              <w:t>Interest</w:t>
            </w:r>
          </w:p>
        </w:tc>
        <w:tc>
          <w:tcPr>
            <w:tcW w:w="1216" w:type="dxa"/>
            <w:shd w:val="clear" w:color="auto" w:fill="auto"/>
            <w:noWrap/>
            <w:tcMar>
              <w:bottom w:w="142" w:type="dxa"/>
            </w:tcMar>
            <w:vAlign w:val="bottom"/>
            <w:hideMark/>
          </w:tcPr>
          <w:p w:rsidR="00CF46B4" w:rsidRPr="00AF4B68" w:rsidRDefault="00CF46B4" w:rsidP="00CF46B4">
            <w:pPr>
              <w:spacing w:before="40" w:after="40" w:line="240" w:lineRule="auto"/>
              <w:ind w:right="266"/>
              <w:jc w:val="right"/>
              <w:rPr>
                <w:rFonts w:eastAsia="Times New Roman"/>
                <w:color w:val="000000"/>
                <w:szCs w:val="24"/>
              </w:rPr>
            </w:pPr>
            <w:r w:rsidRPr="00AF4B68">
              <w:rPr>
                <w:rFonts w:eastAsia="Times New Roman"/>
                <w:color w:val="000000"/>
                <w:szCs w:val="24"/>
              </w:rPr>
              <w:t>83.9</w:t>
            </w:r>
          </w:p>
        </w:tc>
        <w:tc>
          <w:tcPr>
            <w:tcW w:w="1275" w:type="dxa"/>
            <w:shd w:val="clear" w:color="auto" w:fill="auto"/>
            <w:noWrap/>
            <w:tcMar>
              <w:bottom w:w="142" w:type="dxa"/>
            </w:tcMar>
            <w:vAlign w:val="bottom"/>
            <w:hideMark/>
          </w:tcPr>
          <w:p w:rsidR="00CF46B4" w:rsidRPr="00AF4B68" w:rsidRDefault="00CF46B4" w:rsidP="00CF46B4">
            <w:pPr>
              <w:spacing w:before="40" w:after="40" w:line="240" w:lineRule="auto"/>
              <w:ind w:right="225"/>
              <w:jc w:val="right"/>
              <w:rPr>
                <w:rFonts w:eastAsia="Times New Roman"/>
                <w:color w:val="000000"/>
                <w:szCs w:val="24"/>
              </w:rPr>
            </w:pPr>
            <w:r w:rsidRPr="00AF4B68">
              <w:rPr>
                <w:rFonts w:eastAsia="Times New Roman"/>
                <w:color w:val="000000"/>
                <w:szCs w:val="24"/>
              </w:rPr>
              <w:t>170.7</w:t>
            </w:r>
          </w:p>
        </w:tc>
        <w:tc>
          <w:tcPr>
            <w:tcW w:w="1331" w:type="dxa"/>
            <w:shd w:val="clear" w:color="auto" w:fill="auto"/>
            <w:noWrap/>
            <w:tcMar>
              <w:bottom w:w="142" w:type="dxa"/>
            </w:tcMar>
            <w:vAlign w:val="bottom"/>
            <w:hideMark/>
          </w:tcPr>
          <w:p w:rsidR="00CF46B4" w:rsidRPr="00AF4B68" w:rsidRDefault="00CF46B4" w:rsidP="00CF46B4">
            <w:pPr>
              <w:tabs>
                <w:tab w:val="left" w:pos="729"/>
              </w:tabs>
              <w:spacing w:before="40" w:after="40" w:line="240" w:lineRule="auto"/>
              <w:ind w:right="180"/>
              <w:jc w:val="right"/>
              <w:rPr>
                <w:rFonts w:eastAsia="Times New Roman"/>
                <w:color w:val="000000"/>
                <w:szCs w:val="24"/>
              </w:rPr>
            </w:pPr>
            <w:r w:rsidRPr="00AF4B68">
              <w:rPr>
                <w:rFonts w:eastAsia="Times New Roman"/>
                <w:color w:val="000000"/>
                <w:szCs w:val="24"/>
              </w:rPr>
              <w:t>14.2</w:t>
            </w:r>
          </w:p>
        </w:tc>
        <w:tc>
          <w:tcPr>
            <w:tcW w:w="1265" w:type="dxa"/>
            <w:shd w:val="clear" w:color="auto" w:fill="auto"/>
            <w:noWrap/>
            <w:tcMar>
              <w:bottom w:w="142" w:type="dxa"/>
            </w:tcMar>
            <w:vAlign w:val="bottom"/>
            <w:hideMark/>
          </w:tcPr>
          <w:p w:rsidR="00CF46B4" w:rsidRPr="00AF4B68" w:rsidRDefault="00CF46B4" w:rsidP="00CF46B4">
            <w:pPr>
              <w:spacing w:before="40" w:after="40" w:line="240" w:lineRule="auto"/>
              <w:ind w:right="276"/>
              <w:jc w:val="right"/>
              <w:rPr>
                <w:rFonts w:eastAsia="Times New Roman"/>
                <w:color w:val="000000"/>
                <w:szCs w:val="24"/>
              </w:rPr>
            </w:pPr>
            <w:r w:rsidRPr="00AF4B68">
              <w:rPr>
                <w:rFonts w:eastAsia="Times New Roman"/>
                <w:color w:val="000000"/>
                <w:szCs w:val="24"/>
              </w:rPr>
              <w:t>93.5</w:t>
            </w:r>
          </w:p>
        </w:tc>
        <w:tc>
          <w:tcPr>
            <w:tcW w:w="1237" w:type="dxa"/>
            <w:shd w:val="clear" w:color="auto" w:fill="auto"/>
            <w:noWrap/>
            <w:tcMar>
              <w:bottom w:w="142" w:type="dxa"/>
            </w:tcMar>
            <w:vAlign w:val="bottom"/>
            <w:hideMark/>
          </w:tcPr>
          <w:p w:rsidR="00CF46B4" w:rsidRPr="00AF4B68" w:rsidRDefault="00CF46B4" w:rsidP="00CF46B4">
            <w:pPr>
              <w:spacing w:before="40" w:after="40" w:line="240" w:lineRule="auto"/>
              <w:ind w:right="252"/>
              <w:jc w:val="right"/>
              <w:rPr>
                <w:rFonts w:eastAsia="Times New Roman"/>
                <w:color w:val="000000"/>
                <w:szCs w:val="24"/>
              </w:rPr>
            </w:pPr>
            <w:r w:rsidRPr="00AF4B68">
              <w:rPr>
                <w:rFonts w:eastAsia="Times New Roman"/>
                <w:color w:val="000000"/>
                <w:szCs w:val="24"/>
              </w:rPr>
              <w:t>113.6</w:t>
            </w:r>
          </w:p>
        </w:tc>
        <w:tc>
          <w:tcPr>
            <w:tcW w:w="1198" w:type="dxa"/>
            <w:shd w:val="clear" w:color="auto" w:fill="auto"/>
            <w:noWrap/>
            <w:tcMar>
              <w:bottom w:w="142" w:type="dxa"/>
            </w:tcMar>
            <w:vAlign w:val="bottom"/>
            <w:hideMark/>
          </w:tcPr>
          <w:p w:rsidR="00CF46B4" w:rsidRPr="00AF4B68" w:rsidRDefault="00CF46B4" w:rsidP="00CF46B4">
            <w:pPr>
              <w:spacing w:before="40" w:after="40" w:line="240" w:lineRule="auto"/>
              <w:ind w:right="246"/>
              <w:jc w:val="right"/>
              <w:rPr>
                <w:rFonts w:eastAsia="Times New Roman"/>
                <w:b/>
                <w:color w:val="000000"/>
                <w:szCs w:val="24"/>
              </w:rPr>
            </w:pPr>
            <w:r w:rsidRPr="00AF4B68">
              <w:rPr>
                <w:rFonts w:eastAsia="Times New Roman"/>
                <w:b/>
                <w:color w:val="000000"/>
                <w:szCs w:val="24"/>
              </w:rPr>
              <w:t>475.9</w:t>
            </w:r>
          </w:p>
        </w:tc>
      </w:tr>
      <w:tr w:rsidR="00CF46B4" w:rsidRPr="00AF4B68" w:rsidTr="005F6086">
        <w:trPr>
          <w:trHeight w:val="20"/>
        </w:trPr>
        <w:tc>
          <w:tcPr>
            <w:tcW w:w="1694" w:type="dxa"/>
            <w:shd w:val="clear" w:color="auto" w:fill="auto"/>
            <w:noWrap/>
            <w:tcMar>
              <w:bottom w:w="142" w:type="dxa"/>
            </w:tcMar>
            <w:vAlign w:val="bottom"/>
            <w:hideMark/>
          </w:tcPr>
          <w:p w:rsidR="00CF46B4" w:rsidRPr="00AF4B68" w:rsidRDefault="00CF46B4" w:rsidP="00CF46B4">
            <w:pPr>
              <w:spacing w:before="40" w:after="40" w:line="240" w:lineRule="auto"/>
              <w:rPr>
                <w:rFonts w:eastAsia="Times New Roman"/>
                <w:color w:val="000000"/>
                <w:szCs w:val="24"/>
              </w:rPr>
            </w:pPr>
            <w:r w:rsidRPr="00AF4B68">
              <w:rPr>
                <w:rFonts w:eastAsia="Times New Roman"/>
                <w:color w:val="000000"/>
                <w:szCs w:val="24"/>
              </w:rPr>
              <w:t>Notarial Fees</w:t>
            </w:r>
          </w:p>
        </w:tc>
        <w:tc>
          <w:tcPr>
            <w:tcW w:w="1216" w:type="dxa"/>
            <w:shd w:val="clear" w:color="auto" w:fill="auto"/>
            <w:noWrap/>
            <w:tcMar>
              <w:bottom w:w="142" w:type="dxa"/>
            </w:tcMar>
            <w:vAlign w:val="bottom"/>
            <w:hideMark/>
          </w:tcPr>
          <w:p w:rsidR="00CF46B4" w:rsidRPr="00AF4B68" w:rsidRDefault="00CF46B4" w:rsidP="00CF46B4">
            <w:pPr>
              <w:spacing w:before="40" w:after="40" w:line="240" w:lineRule="auto"/>
              <w:ind w:right="266"/>
              <w:jc w:val="right"/>
              <w:rPr>
                <w:rFonts w:eastAsia="Times New Roman"/>
                <w:color w:val="000000"/>
                <w:szCs w:val="24"/>
              </w:rPr>
            </w:pPr>
            <w:r w:rsidRPr="00AF4B68">
              <w:rPr>
                <w:rFonts w:eastAsia="Times New Roman"/>
                <w:color w:val="000000"/>
                <w:szCs w:val="24"/>
              </w:rPr>
              <w:t xml:space="preserve">2.4 </w:t>
            </w:r>
          </w:p>
        </w:tc>
        <w:tc>
          <w:tcPr>
            <w:tcW w:w="1275" w:type="dxa"/>
            <w:shd w:val="clear" w:color="auto" w:fill="auto"/>
            <w:noWrap/>
            <w:tcMar>
              <w:bottom w:w="142" w:type="dxa"/>
            </w:tcMar>
            <w:vAlign w:val="bottom"/>
            <w:hideMark/>
          </w:tcPr>
          <w:p w:rsidR="00CF46B4" w:rsidRPr="00AF4B68" w:rsidRDefault="00CF46B4" w:rsidP="00CF46B4">
            <w:pPr>
              <w:spacing w:before="40" w:after="40" w:line="240" w:lineRule="auto"/>
              <w:ind w:right="225"/>
              <w:jc w:val="right"/>
              <w:rPr>
                <w:rFonts w:eastAsia="Times New Roman"/>
                <w:color w:val="000000"/>
                <w:szCs w:val="24"/>
              </w:rPr>
            </w:pPr>
            <w:r w:rsidRPr="00AF4B68">
              <w:rPr>
                <w:rFonts w:eastAsia="Times New Roman"/>
                <w:color w:val="000000"/>
                <w:szCs w:val="24"/>
              </w:rPr>
              <w:t xml:space="preserve">3.4 </w:t>
            </w:r>
          </w:p>
        </w:tc>
        <w:tc>
          <w:tcPr>
            <w:tcW w:w="1331" w:type="dxa"/>
            <w:shd w:val="clear" w:color="auto" w:fill="auto"/>
            <w:noWrap/>
            <w:tcMar>
              <w:bottom w:w="142" w:type="dxa"/>
            </w:tcMar>
            <w:vAlign w:val="bottom"/>
            <w:hideMark/>
          </w:tcPr>
          <w:p w:rsidR="00CF46B4" w:rsidRPr="00AF4B68" w:rsidRDefault="00CF46B4" w:rsidP="00CF46B4">
            <w:pPr>
              <w:tabs>
                <w:tab w:val="left" w:pos="729"/>
              </w:tabs>
              <w:spacing w:before="40" w:after="40" w:line="240" w:lineRule="auto"/>
              <w:ind w:right="180"/>
              <w:jc w:val="right"/>
              <w:rPr>
                <w:rFonts w:eastAsia="Times New Roman"/>
                <w:color w:val="000000"/>
                <w:szCs w:val="24"/>
              </w:rPr>
            </w:pPr>
            <w:r w:rsidRPr="00AF4B68">
              <w:rPr>
                <w:rFonts w:eastAsia="Times New Roman"/>
                <w:color w:val="000000"/>
                <w:szCs w:val="24"/>
              </w:rPr>
              <w:t>0.1</w:t>
            </w:r>
          </w:p>
        </w:tc>
        <w:tc>
          <w:tcPr>
            <w:tcW w:w="1265" w:type="dxa"/>
            <w:shd w:val="clear" w:color="auto" w:fill="auto"/>
            <w:noWrap/>
            <w:tcMar>
              <w:bottom w:w="142" w:type="dxa"/>
            </w:tcMar>
            <w:vAlign w:val="bottom"/>
            <w:hideMark/>
          </w:tcPr>
          <w:p w:rsidR="00CF46B4" w:rsidRPr="00AF4B68" w:rsidRDefault="00CF46B4" w:rsidP="00CF46B4">
            <w:pPr>
              <w:spacing w:before="40" w:after="40" w:line="240" w:lineRule="auto"/>
              <w:ind w:right="276"/>
              <w:jc w:val="right"/>
              <w:rPr>
                <w:rFonts w:eastAsia="Times New Roman"/>
                <w:color w:val="000000"/>
                <w:szCs w:val="24"/>
              </w:rPr>
            </w:pPr>
            <w:r w:rsidRPr="00AF4B68">
              <w:rPr>
                <w:rFonts w:eastAsia="Times New Roman"/>
                <w:color w:val="000000"/>
                <w:szCs w:val="24"/>
              </w:rPr>
              <w:t xml:space="preserve">2.6 </w:t>
            </w:r>
          </w:p>
        </w:tc>
        <w:tc>
          <w:tcPr>
            <w:tcW w:w="1237" w:type="dxa"/>
            <w:shd w:val="clear" w:color="auto" w:fill="auto"/>
            <w:noWrap/>
            <w:tcMar>
              <w:bottom w:w="142" w:type="dxa"/>
            </w:tcMar>
            <w:vAlign w:val="bottom"/>
            <w:hideMark/>
          </w:tcPr>
          <w:p w:rsidR="00CF46B4" w:rsidRPr="00AF4B68" w:rsidRDefault="00CF46B4" w:rsidP="00CF46B4">
            <w:pPr>
              <w:spacing w:before="40" w:after="40" w:line="240" w:lineRule="auto"/>
              <w:ind w:right="252"/>
              <w:jc w:val="right"/>
              <w:rPr>
                <w:rFonts w:eastAsia="Times New Roman"/>
                <w:color w:val="000000"/>
                <w:szCs w:val="24"/>
              </w:rPr>
            </w:pPr>
            <w:r w:rsidRPr="00AF4B68">
              <w:rPr>
                <w:rFonts w:eastAsia="Times New Roman"/>
                <w:color w:val="000000"/>
                <w:szCs w:val="24"/>
              </w:rPr>
              <w:t xml:space="preserve">2.8 </w:t>
            </w:r>
          </w:p>
        </w:tc>
        <w:tc>
          <w:tcPr>
            <w:tcW w:w="1198" w:type="dxa"/>
            <w:shd w:val="clear" w:color="auto" w:fill="auto"/>
            <w:noWrap/>
            <w:tcMar>
              <w:bottom w:w="142" w:type="dxa"/>
            </w:tcMar>
            <w:vAlign w:val="bottom"/>
            <w:hideMark/>
          </w:tcPr>
          <w:p w:rsidR="00CF46B4" w:rsidRPr="00AF4B68" w:rsidRDefault="00CF46B4" w:rsidP="00CF46B4">
            <w:pPr>
              <w:spacing w:before="40" w:after="40" w:line="240" w:lineRule="auto"/>
              <w:ind w:right="246"/>
              <w:jc w:val="right"/>
              <w:rPr>
                <w:rFonts w:eastAsia="Times New Roman"/>
                <w:b/>
                <w:color w:val="000000"/>
                <w:szCs w:val="24"/>
              </w:rPr>
            </w:pPr>
            <w:r w:rsidRPr="00AF4B68">
              <w:rPr>
                <w:rFonts w:eastAsia="Times New Roman"/>
                <w:b/>
                <w:color w:val="000000"/>
                <w:szCs w:val="24"/>
              </w:rPr>
              <w:t xml:space="preserve">11.3 </w:t>
            </w:r>
          </w:p>
        </w:tc>
      </w:tr>
      <w:tr w:rsidR="00CF46B4" w:rsidRPr="00AF4B68" w:rsidTr="005F6086">
        <w:trPr>
          <w:trHeight w:val="20"/>
        </w:trPr>
        <w:tc>
          <w:tcPr>
            <w:tcW w:w="1694" w:type="dxa"/>
            <w:shd w:val="clear" w:color="auto" w:fill="auto"/>
            <w:noWrap/>
            <w:tcMar>
              <w:bottom w:w="142" w:type="dxa"/>
            </w:tcMar>
            <w:vAlign w:val="bottom"/>
            <w:hideMark/>
          </w:tcPr>
          <w:p w:rsidR="00CF46B4" w:rsidRPr="00AF4B68" w:rsidRDefault="00CF46B4" w:rsidP="00CF46B4">
            <w:pPr>
              <w:spacing w:before="40" w:after="40" w:line="240" w:lineRule="auto"/>
              <w:rPr>
                <w:rFonts w:eastAsia="Times New Roman"/>
                <w:color w:val="000000"/>
                <w:szCs w:val="24"/>
              </w:rPr>
            </w:pPr>
            <w:r w:rsidRPr="00AF4B68">
              <w:rPr>
                <w:rFonts w:eastAsia="Times New Roman"/>
                <w:color w:val="000000"/>
                <w:szCs w:val="24"/>
              </w:rPr>
              <w:t>Publication</w:t>
            </w:r>
          </w:p>
        </w:tc>
        <w:tc>
          <w:tcPr>
            <w:tcW w:w="1216" w:type="dxa"/>
            <w:shd w:val="clear" w:color="auto" w:fill="auto"/>
            <w:noWrap/>
            <w:tcMar>
              <w:bottom w:w="142" w:type="dxa"/>
            </w:tcMar>
            <w:vAlign w:val="bottom"/>
            <w:hideMark/>
          </w:tcPr>
          <w:p w:rsidR="00CF46B4" w:rsidRPr="00AF4B68" w:rsidRDefault="00CF46B4" w:rsidP="00CF46B4">
            <w:pPr>
              <w:spacing w:before="40" w:after="40" w:line="240" w:lineRule="auto"/>
              <w:ind w:right="266"/>
              <w:jc w:val="right"/>
              <w:rPr>
                <w:rFonts w:eastAsia="Times New Roman"/>
                <w:color w:val="000000"/>
                <w:szCs w:val="24"/>
              </w:rPr>
            </w:pPr>
            <w:r w:rsidRPr="00AF4B68">
              <w:rPr>
                <w:rFonts w:eastAsia="Times New Roman"/>
                <w:color w:val="000000"/>
                <w:szCs w:val="24"/>
              </w:rPr>
              <w:t xml:space="preserve">11.1 </w:t>
            </w:r>
          </w:p>
        </w:tc>
        <w:tc>
          <w:tcPr>
            <w:tcW w:w="1275" w:type="dxa"/>
            <w:shd w:val="clear" w:color="auto" w:fill="auto"/>
            <w:noWrap/>
            <w:tcMar>
              <w:bottom w:w="142" w:type="dxa"/>
            </w:tcMar>
            <w:vAlign w:val="bottom"/>
            <w:hideMark/>
          </w:tcPr>
          <w:p w:rsidR="00CF46B4" w:rsidRPr="00AF4B68" w:rsidRDefault="00CF46B4" w:rsidP="00CF46B4">
            <w:pPr>
              <w:spacing w:before="40" w:after="40" w:line="240" w:lineRule="auto"/>
              <w:ind w:right="225"/>
              <w:jc w:val="right"/>
              <w:rPr>
                <w:rFonts w:eastAsia="Times New Roman"/>
                <w:color w:val="000000"/>
                <w:szCs w:val="24"/>
              </w:rPr>
            </w:pPr>
            <w:r w:rsidRPr="00AF4B68">
              <w:rPr>
                <w:rFonts w:eastAsia="Times New Roman"/>
                <w:color w:val="000000"/>
                <w:szCs w:val="24"/>
              </w:rPr>
              <w:t xml:space="preserve">15.7 </w:t>
            </w:r>
          </w:p>
        </w:tc>
        <w:tc>
          <w:tcPr>
            <w:tcW w:w="1331" w:type="dxa"/>
            <w:shd w:val="clear" w:color="auto" w:fill="auto"/>
            <w:noWrap/>
            <w:tcMar>
              <w:bottom w:w="142" w:type="dxa"/>
            </w:tcMar>
            <w:vAlign w:val="bottom"/>
            <w:hideMark/>
          </w:tcPr>
          <w:p w:rsidR="00CF46B4" w:rsidRPr="00AF4B68" w:rsidRDefault="00CF46B4" w:rsidP="00CF46B4">
            <w:pPr>
              <w:tabs>
                <w:tab w:val="left" w:pos="729"/>
              </w:tabs>
              <w:spacing w:before="40" w:after="40" w:line="240" w:lineRule="auto"/>
              <w:ind w:right="180"/>
              <w:jc w:val="right"/>
              <w:rPr>
                <w:rFonts w:eastAsia="Times New Roman"/>
                <w:color w:val="000000"/>
                <w:szCs w:val="24"/>
              </w:rPr>
            </w:pPr>
            <w:r w:rsidRPr="00AF4B68">
              <w:rPr>
                <w:rFonts w:eastAsia="Times New Roman"/>
                <w:color w:val="000000"/>
                <w:szCs w:val="24"/>
              </w:rPr>
              <w:t xml:space="preserve">1.1 </w:t>
            </w:r>
          </w:p>
        </w:tc>
        <w:tc>
          <w:tcPr>
            <w:tcW w:w="1265" w:type="dxa"/>
            <w:shd w:val="clear" w:color="auto" w:fill="auto"/>
            <w:noWrap/>
            <w:tcMar>
              <w:bottom w:w="142" w:type="dxa"/>
            </w:tcMar>
            <w:vAlign w:val="bottom"/>
            <w:hideMark/>
          </w:tcPr>
          <w:p w:rsidR="00CF46B4" w:rsidRPr="00AF4B68" w:rsidRDefault="00CF46B4" w:rsidP="00CF46B4">
            <w:pPr>
              <w:spacing w:before="40" w:after="40" w:line="240" w:lineRule="auto"/>
              <w:ind w:right="276"/>
              <w:jc w:val="right"/>
              <w:rPr>
                <w:rFonts w:eastAsia="Times New Roman"/>
                <w:color w:val="000000"/>
                <w:szCs w:val="24"/>
              </w:rPr>
            </w:pPr>
            <w:r w:rsidRPr="00AF4B68">
              <w:rPr>
                <w:rFonts w:eastAsia="Times New Roman"/>
                <w:color w:val="000000"/>
                <w:szCs w:val="24"/>
              </w:rPr>
              <w:t xml:space="preserve">4.9 </w:t>
            </w:r>
          </w:p>
        </w:tc>
        <w:tc>
          <w:tcPr>
            <w:tcW w:w="1237" w:type="dxa"/>
            <w:shd w:val="clear" w:color="auto" w:fill="auto"/>
            <w:noWrap/>
            <w:tcMar>
              <w:bottom w:w="142" w:type="dxa"/>
            </w:tcMar>
            <w:vAlign w:val="bottom"/>
            <w:hideMark/>
          </w:tcPr>
          <w:p w:rsidR="00CF46B4" w:rsidRPr="00AF4B68" w:rsidRDefault="00CF46B4" w:rsidP="00CF46B4">
            <w:pPr>
              <w:spacing w:before="40" w:after="40" w:line="240" w:lineRule="auto"/>
              <w:ind w:right="252"/>
              <w:jc w:val="right"/>
              <w:rPr>
                <w:rFonts w:eastAsia="Times New Roman"/>
                <w:color w:val="000000"/>
                <w:szCs w:val="24"/>
              </w:rPr>
            </w:pPr>
            <w:r w:rsidRPr="00AF4B68">
              <w:rPr>
                <w:rFonts w:eastAsia="Times New Roman"/>
                <w:color w:val="000000"/>
                <w:szCs w:val="24"/>
              </w:rPr>
              <w:t xml:space="preserve">3.2 </w:t>
            </w:r>
          </w:p>
        </w:tc>
        <w:tc>
          <w:tcPr>
            <w:tcW w:w="1198" w:type="dxa"/>
            <w:shd w:val="clear" w:color="auto" w:fill="auto"/>
            <w:noWrap/>
            <w:tcMar>
              <w:bottom w:w="142" w:type="dxa"/>
            </w:tcMar>
            <w:vAlign w:val="bottom"/>
            <w:hideMark/>
          </w:tcPr>
          <w:p w:rsidR="00CF46B4" w:rsidRPr="00AF4B68" w:rsidRDefault="00CF46B4" w:rsidP="00CF46B4">
            <w:pPr>
              <w:spacing w:before="40" w:after="40" w:line="240" w:lineRule="auto"/>
              <w:ind w:right="246"/>
              <w:jc w:val="right"/>
              <w:rPr>
                <w:rFonts w:eastAsia="Times New Roman"/>
                <w:b/>
                <w:color w:val="000000"/>
                <w:szCs w:val="24"/>
              </w:rPr>
            </w:pPr>
            <w:r w:rsidRPr="00AF4B68">
              <w:rPr>
                <w:rFonts w:eastAsia="Times New Roman"/>
                <w:b/>
                <w:color w:val="000000"/>
                <w:szCs w:val="24"/>
              </w:rPr>
              <w:t xml:space="preserve">36.0 </w:t>
            </w:r>
          </w:p>
        </w:tc>
      </w:tr>
      <w:tr w:rsidR="00CF46B4" w:rsidRPr="00AF4B68" w:rsidTr="005F6086">
        <w:trPr>
          <w:trHeight w:val="20"/>
        </w:trPr>
        <w:tc>
          <w:tcPr>
            <w:tcW w:w="1694" w:type="dxa"/>
            <w:shd w:val="clear" w:color="auto" w:fill="auto"/>
            <w:noWrap/>
            <w:tcMar>
              <w:bottom w:w="142" w:type="dxa"/>
            </w:tcMar>
            <w:vAlign w:val="bottom"/>
          </w:tcPr>
          <w:p w:rsidR="00927FDF" w:rsidRDefault="00CF46B4" w:rsidP="00927FDF">
            <w:pPr>
              <w:spacing w:after="0" w:line="240" w:lineRule="auto"/>
              <w:rPr>
                <w:rFonts w:eastAsia="Times New Roman"/>
                <w:color w:val="000000"/>
                <w:szCs w:val="24"/>
              </w:rPr>
            </w:pPr>
            <w:bookmarkStart w:id="3" w:name="_Hlk501994733"/>
            <w:r w:rsidRPr="00AF4B68">
              <w:rPr>
                <w:rFonts w:eastAsia="Times New Roman"/>
                <w:color w:val="000000"/>
                <w:szCs w:val="24"/>
              </w:rPr>
              <w:t xml:space="preserve">Costs for </w:t>
            </w:r>
          </w:p>
          <w:p w:rsidR="00927FDF" w:rsidRDefault="00CF46B4" w:rsidP="00927FDF">
            <w:pPr>
              <w:spacing w:after="0" w:line="240" w:lineRule="auto"/>
              <w:rPr>
                <w:rFonts w:eastAsia="Times New Roman"/>
                <w:color w:val="000000"/>
                <w:szCs w:val="24"/>
              </w:rPr>
            </w:pPr>
            <w:r w:rsidRPr="00AF4B68">
              <w:rPr>
                <w:rFonts w:eastAsia="Times New Roman"/>
                <w:color w:val="000000"/>
                <w:szCs w:val="24"/>
              </w:rPr>
              <w:t>Belle Rive</w:t>
            </w:r>
            <w:r w:rsidR="00927FDF">
              <w:rPr>
                <w:rFonts w:eastAsia="Times New Roman"/>
                <w:color w:val="000000"/>
                <w:szCs w:val="24"/>
              </w:rPr>
              <w:t xml:space="preserve"> </w:t>
            </w:r>
            <w:r w:rsidRPr="00AF4B68">
              <w:rPr>
                <w:rFonts w:eastAsia="Times New Roman"/>
                <w:color w:val="000000"/>
                <w:szCs w:val="24"/>
              </w:rPr>
              <w:t>-</w:t>
            </w:r>
          </w:p>
          <w:p w:rsidR="00CF46B4" w:rsidRPr="00AF4B68" w:rsidRDefault="00CF46B4" w:rsidP="00927FDF">
            <w:pPr>
              <w:spacing w:after="0" w:line="240" w:lineRule="auto"/>
              <w:rPr>
                <w:rFonts w:eastAsia="Times New Roman"/>
                <w:color w:val="000000"/>
                <w:szCs w:val="24"/>
              </w:rPr>
            </w:pPr>
            <w:r w:rsidRPr="00AF4B68">
              <w:rPr>
                <w:rFonts w:eastAsia="Times New Roman"/>
                <w:color w:val="000000"/>
                <w:szCs w:val="24"/>
              </w:rPr>
              <w:t>Q</w:t>
            </w:r>
            <w:r w:rsidR="00927FDF">
              <w:rPr>
                <w:rFonts w:eastAsia="Times New Roman"/>
                <w:color w:val="000000"/>
                <w:szCs w:val="24"/>
              </w:rPr>
              <w:t>.</w:t>
            </w:r>
            <w:r w:rsidRPr="00AF4B68">
              <w:rPr>
                <w:rFonts w:eastAsia="Times New Roman"/>
                <w:color w:val="000000"/>
                <w:szCs w:val="24"/>
              </w:rPr>
              <w:t xml:space="preserve"> </w:t>
            </w:r>
            <w:proofErr w:type="spellStart"/>
            <w:r w:rsidRPr="00AF4B68">
              <w:rPr>
                <w:rFonts w:eastAsia="Times New Roman"/>
                <w:color w:val="000000"/>
                <w:szCs w:val="24"/>
              </w:rPr>
              <w:t>Militaire</w:t>
            </w:r>
            <w:bookmarkEnd w:id="3"/>
            <w:proofErr w:type="spellEnd"/>
          </w:p>
        </w:tc>
        <w:tc>
          <w:tcPr>
            <w:tcW w:w="1216" w:type="dxa"/>
            <w:shd w:val="clear" w:color="auto" w:fill="auto"/>
            <w:noWrap/>
            <w:tcMar>
              <w:bottom w:w="142" w:type="dxa"/>
            </w:tcMar>
            <w:vAlign w:val="bottom"/>
          </w:tcPr>
          <w:p w:rsidR="00CF46B4" w:rsidRPr="00AF4B68" w:rsidRDefault="00CF46B4" w:rsidP="00CF46B4">
            <w:pPr>
              <w:spacing w:before="40" w:after="40" w:line="240" w:lineRule="auto"/>
              <w:ind w:right="266"/>
              <w:jc w:val="right"/>
              <w:rPr>
                <w:rFonts w:eastAsia="Times New Roman"/>
                <w:color w:val="000000"/>
                <w:szCs w:val="24"/>
              </w:rPr>
            </w:pPr>
            <w:r w:rsidRPr="00AF4B68">
              <w:rPr>
                <w:rFonts w:eastAsia="Times New Roman"/>
                <w:color w:val="000000"/>
                <w:szCs w:val="24"/>
              </w:rPr>
              <w:t xml:space="preserve">11.7 </w:t>
            </w:r>
          </w:p>
        </w:tc>
        <w:tc>
          <w:tcPr>
            <w:tcW w:w="1275" w:type="dxa"/>
            <w:shd w:val="clear" w:color="auto" w:fill="auto"/>
            <w:noWrap/>
            <w:tcMar>
              <w:bottom w:w="142" w:type="dxa"/>
            </w:tcMar>
            <w:vAlign w:val="bottom"/>
          </w:tcPr>
          <w:p w:rsidR="00CF46B4" w:rsidRPr="00AF4B68" w:rsidRDefault="00CF46B4" w:rsidP="00CF46B4">
            <w:pPr>
              <w:spacing w:before="40" w:after="40" w:line="240" w:lineRule="auto"/>
              <w:ind w:right="225"/>
              <w:jc w:val="right"/>
              <w:rPr>
                <w:rFonts w:eastAsia="Times New Roman"/>
                <w:color w:val="000000"/>
                <w:szCs w:val="24"/>
              </w:rPr>
            </w:pPr>
            <w:r w:rsidRPr="00AF4B68">
              <w:rPr>
                <w:rFonts w:eastAsia="Times New Roman"/>
                <w:color w:val="000000"/>
                <w:szCs w:val="24"/>
              </w:rPr>
              <w:t xml:space="preserve">10.9 </w:t>
            </w:r>
          </w:p>
        </w:tc>
        <w:tc>
          <w:tcPr>
            <w:tcW w:w="1331" w:type="dxa"/>
            <w:shd w:val="clear" w:color="auto" w:fill="auto"/>
            <w:noWrap/>
            <w:tcMar>
              <w:bottom w:w="142" w:type="dxa"/>
            </w:tcMar>
            <w:vAlign w:val="bottom"/>
          </w:tcPr>
          <w:p w:rsidR="00CF46B4" w:rsidRPr="00AF4B68" w:rsidRDefault="00CF46B4" w:rsidP="00CF46B4">
            <w:pPr>
              <w:tabs>
                <w:tab w:val="left" w:pos="729"/>
              </w:tabs>
              <w:spacing w:before="40" w:after="40" w:line="240" w:lineRule="auto"/>
              <w:ind w:right="180"/>
              <w:jc w:val="right"/>
              <w:rPr>
                <w:rFonts w:eastAsia="Times New Roman"/>
                <w:color w:val="000000"/>
                <w:szCs w:val="24"/>
              </w:rPr>
            </w:pPr>
            <w:r w:rsidRPr="00AF4B68">
              <w:rPr>
                <w:rFonts w:eastAsia="Times New Roman"/>
                <w:color w:val="000000"/>
                <w:szCs w:val="24"/>
              </w:rPr>
              <w:t xml:space="preserve">2.3 </w:t>
            </w:r>
          </w:p>
        </w:tc>
        <w:tc>
          <w:tcPr>
            <w:tcW w:w="1265" w:type="dxa"/>
            <w:shd w:val="clear" w:color="auto" w:fill="auto"/>
            <w:noWrap/>
            <w:tcMar>
              <w:bottom w:w="142" w:type="dxa"/>
            </w:tcMar>
            <w:vAlign w:val="bottom"/>
          </w:tcPr>
          <w:p w:rsidR="00CF46B4" w:rsidRPr="00AF4B68" w:rsidRDefault="00CF46B4" w:rsidP="00CF46B4">
            <w:pPr>
              <w:spacing w:before="40" w:after="40" w:line="240" w:lineRule="auto"/>
              <w:ind w:right="276"/>
              <w:jc w:val="right"/>
              <w:rPr>
                <w:rFonts w:eastAsia="Times New Roman"/>
                <w:color w:val="000000"/>
                <w:szCs w:val="24"/>
              </w:rPr>
            </w:pPr>
            <w:r w:rsidRPr="00AF4B68">
              <w:rPr>
                <w:rFonts w:eastAsia="Times New Roman"/>
                <w:color w:val="000000"/>
                <w:szCs w:val="24"/>
              </w:rPr>
              <w:t xml:space="preserve">4.1 </w:t>
            </w:r>
          </w:p>
        </w:tc>
        <w:tc>
          <w:tcPr>
            <w:tcW w:w="1237" w:type="dxa"/>
            <w:shd w:val="clear" w:color="auto" w:fill="auto"/>
            <w:noWrap/>
            <w:tcMar>
              <w:bottom w:w="142" w:type="dxa"/>
            </w:tcMar>
            <w:vAlign w:val="bottom"/>
          </w:tcPr>
          <w:p w:rsidR="00CF46B4" w:rsidRPr="00AF4B68" w:rsidRDefault="00CF46B4" w:rsidP="00CF46B4">
            <w:pPr>
              <w:spacing w:before="40" w:after="40" w:line="240" w:lineRule="auto"/>
              <w:ind w:right="252"/>
              <w:jc w:val="right"/>
              <w:rPr>
                <w:rFonts w:eastAsia="Times New Roman"/>
                <w:color w:val="000000"/>
                <w:szCs w:val="24"/>
              </w:rPr>
            </w:pPr>
            <w:r w:rsidRPr="00AF4B68">
              <w:rPr>
                <w:rFonts w:eastAsia="Times New Roman"/>
                <w:color w:val="000000"/>
                <w:szCs w:val="24"/>
              </w:rPr>
              <w:t>6.3</w:t>
            </w:r>
          </w:p>
        </w:tc>
        <w:tc>
          <w:tcPr>
            <w:tcW w:w="1198" w:type="dxa"/>
            <w:shd w:val="clear" w:color="auto" w:fill="auto"/>
            <w:noWrap/>
            <w:tcMar>
              <w:bottom w:w="142" w:type="dxa"/>
            </w:tcMar>
            <w:vAlign w:val="bottom"/>
          </w:tcPr>
          <w:p w:rsidR="00CF46B4" w:rsidRPr="00AF4B68" w:rsidRDefault="00CF46B4" w:rsidP="00CF46B4">
            <w:pPr>
              <w:spacing w:before="40" w:after="40" w:line="240" w:lineRule="auto"/>
              <w:ind w:right="246"/>
              <w:jc w:val="right"/>
              <w:rPr>
                <w:rFonts w:eastAsia="Times New Roman"/>
                <w:b/>
                <w:color w:val="000000"/>
                <w:szCs w:val="24"/>
              </w:rPr>
            </w:pPr>
            <w:r w:rsidRPr="00AF4B68">
              <w:rPr>
                <w:rFonts w:eastAsia="Times New Roman"/>
                <w:b/>
                <w:color w:val="000000"/>
                <w:szCs w:val="24"/>
              </w:rPr>
              <w:t xml:space="preserve">35.3 </w:t>
            </w:r>
          </w:p>
        </w:tc>
      </w:tr>
      <w:tr w:rsidR="00CF46B4" w:rsidRPr="00AF4B68" w:rsidTr="00E43BEE">
        <w:trPr>
          <w:trHeight w:val="315"/>
        </w:trPr>
        <w:tc>
          <w:tcPr>
            <w:tcW w:w="1694" w:type="dxa"/>
            <w:shd w:val="clear" w:color="auto" w:fill="auto"/>
            <w:noWrap/>
            <w:vAlign w:val="bottom"/>
            <w:hideMark/>
          </w:tcPr>
          <w:p w:rsidR="00CF46B4" w:rsidRPr="00AF4B68" w:rsidRDefault="00CF46B4" w:rsidP="00CF46B4">
            <w:pPr>
              <w:spacing w:before="40" w:after="40" w:line="240" w:lineRule="auto"/>
              <w:rPr>
                <w:rFonts w:eastAsia="Times New Roman"/>
                <w:b/>
                <w:bCs/>
                <w:color w:val="000000"/>
                <w:szCs w:val="24"/>
              </w:rPr>
            </w:pPr>
            <w:r w:rsidRPr="00AF4B68">
              <w:rPr>
                <w:rFonts w:eastAsia="Times New Roman"/>
                <w:b/>
                <w:bCs/>
                <w:color w:val="000000"/>
                <w:szCs w:val="24"/>
              </w:rPr>
              <w:t>Total</w:t>
            </w:r>
          </w:p>
        </w:tc>
        <w:tc>
          <w:tcPr>
            <w:tcW w:w="1216" w:type="dxa"/>
            <w:shd w:val="clear" w:color="auto" w:fill="auto"/>
            <w:noWrap/>
            <w:vAlign w:val="bottom"/>
            <w:hideMark/>
          </w:tcPr>
          <w:p w:rsidR="00CF46B4" w:rsidRPr="00AF4B68" w:rsidRDefault="00CF46B4" w:rsidP="00CF46B4">
            <w:pPr>
              <w:spacing w:before="40" w:after="40" w:line="240" w:lineRule="auto"/>
              <w:ind w:right="266"/>
              <w:jc w:val="right"/>
              <w:rPr>
                <w:rFonts w:eastAsia="Times New Roman"/>
                <w:b/>
                <w:bCs/>
                <w:color w:val="000000"/>
                <w:szCs w:val="24"/>
              </w:rPr>
            </w:pPr>
            <w:r w:rsidRPr="00AF4B68">
              <w:rPr>
                <w:rFonts w:eastAsia="Times New Roman"/>
                <w:b/>
                <w:bCs/>
                <w:color w:val="000000"/>
                <w:szCs w:val="24"/>
              </w:rPr>
              <w:t xml:space="preserve">531.7 </w:t>
            </w:r>
          </w:p>
        </w:tc>
        <w:tc>
          <w:tcPr>
            <w:tcW w:w="1275" w:type="dxa"/>
            <w:shd w:val="clear" w:color="auto" w:fill="auto"/>
            <w:noWrap/>
            <w:vAlign w:val="bottom"/>
            <w:hideMark/>
          </w:tcPr>
          <w:p w:rsidR="00CF46B4" w:rsidRPr="00AF4B68" w:rsidRDefault="00CF46B4" w:rsidP="00CF46B4">
            <w:pPr>
              <w:spacing w:before="40" w:after="40" w:line="240" w:lineRule="auto"/>
              <w:ind w:right="225"/>
              <w:jc w:val="right"/>
              <w:rPr>
                <w:rFonts w:eastAsia="Times New Roman"/>
                <w:b/>
                <w:bCs/>
                <w:color w:val="000000"/>
                <w:szCs w:val="24"/>
              </w:rPr>
            </w:pPr>
            <w:r w:rsidRPr="00AF4B68">
              <w:rPr>
                <w:rFonts w:eastAsia="Times New Roman"/>
                <w:b/>
                <w:bCs/>
                <w:color w:val="000000"/>
                <w:szCs w:val="24"/>
              </w:rPr>
              <w:t xml:space="preserve">1,139.1 </w:t>
            </w:r>
          </w:p>
        </w:tc>
        <w:tc>
          <w:tcPr>
            <w:tcW w:w="1331" w:type="dxa"/>
            <w:shd w:val="clear" w:color="auto" w:fill="auto"/>
            <w:noWrap/>
            <w:vAlign w:val="bottom"/>
            <w:hideMark/>
          </w:tcPr>
          <w:p w:rsidR="00CF46B4" w:rsidRPr="00AF4B68" w:rsidRDefault="00CF46B4" w:rsidP="00CF46B4">
            <w:pPr>
              <w:tabs>
                <w:tab w:val="left" w:pos="729"/>
              </w:tabs>
              <w:spacing w:before="40" w:after="40" w:line="240" w:lineRule="auto"/>
              <w:ind w:right="180"/>
              <w:jc w:val="right"/>
              <w:rPr>
                <w:rFonts w:eastAsia="Times New Roman"/>
                <w:b/>
                <w:bCs/>
                <w:color w:val="000000"/>
                <w:szCs w:val="24"/>
              </w:rPr>
            </w:pPr>
            <w:r w:rsidRPr="00AF4B68">
              <w:rPr>
                <w:rFonts w:eastAsia="Times New Roman"/>
                <w:b/>
                <w:bCs/>
                <w:color w:val="000000"/>
                <w:szCs w:val="24"/>
              </w:rPr>
              <w:t xml:space="preserve">193.3 </w:t>
            </w:r>
          </w:p>
        </w:tc>
        <w:tc>
          <w:tcPr>
            <w:tcW w:w="1265" w:type="dxa"/>
            <w:shd w:val="clear" w:color="auto" w:fill="auto"/>
            <w:noWrap/>
            <w:vAlign w:val="bottom"/>
            <w:hideMark/>
          </w:tcPr>
          <w:p w:rsidR="00CF46B4" w:rsidRPr="00AF4B68" w:rsidRDefault="00CF46B4" w:rsidP="00CF46B4">
            <w:pPr>
              <w:spacing w:before="40" w:after="40" w:line="240" w:lineRule="auto"/>
              <w:ind w:right="276"/>
              <w:jc w:val="right"/>
              <w:rPr>
                <w:rFonts w:eastAsia="Times New Roman"/>
                <w:b/>
                <w:bCs/>
                <w:color w:val="000000"/>
                <w:szCs w:val="24"/>
              </w:rPr>
            </w:pPr>
            <w:r w:rsidRPr="00AF4B68">
              <w:rPr>
                <w:rFonts w:eastAsia="Times New Roman"/>
                <w:b/>
                <w:bCs/>
                <w:color w:val="000000"/>
                <w:szCs w:val="24"/>
              </w:rPr>
              <w:t xml:space="preserve">539.1 </w:t>
            </w:r>
          </w:p>
        </w:tc>
        <w:tc>
          <w:tcPr>
            <w:tcW w:w="1237" w:type="dxa"/>
            <w:shd w:val="clear" w:color="auto" w:fill="auto"/>
            <w:noWrap/>
            <w:vAlign w:val="bottom"/>
            <w:hideMark/>
          </w:tcPr>
          <w:p w:rsidR="00CF46B4" w:rsidRPr="00AF4B68" w:rsidRDefault="00CF46B4" w:rsidP="00CF46B4">
            <w:pPr>
              <w:spacing w:before="40" w:after="40" w:line="240" w:lineRule="auto"/>
              <w:ind w:right="252"/>
              <w:jc w:val="right"/>
              <w:rPr>
                <w:rFonts w:eastAsia="Times New Roman"/>
                <w:b/>
                <w:bCs/>
                <w:color w:val="000000"/>
                <w:szCs w:val="24"/>
              </w:rPr>
            </w:pPr>
            <w:r w:rsidRPr="00AF4B68">
              <w:rPr>
                <w:rFonts w:eastAsia="Times New Roman"/>
                <w:b/>
                <w:bCs/>
                <w:color w:val="000000"/>
                <w:szCs w:val="24"/>
              </w:rPr>
              <w:t xml:space="preserve">648.4 </w:t>
            </w:r>
          </w:p>
        </w:tc>
        <w:tc>
          <w:tcPr>
            <w:tcW w:w="1198" w:type="dxa"/>
            <w:shd w:val="clear" w:color="auto" w:fill="auto"/>
            <w:noWrap/>
            <w:vAlign w:val="bottom"/>
            <w:hideMark/>
          </w:tcPr>
          <w:p w:rsidR="00CF46B4" w:rsidRPr="00AF4B68" w:rsidRDefault="00CF46B4" w:rsidP="00CF46B4">
            <w:pPr>
              <w:spacing w:before="40" w:after="40" w:line="240" w:lineRule="auto"/>
              <w:ind w:right="246"/>
              <w:jc w:val="right"/>
              <w:rPr>
                <w:rFonts w:eastAsia="Times New Roman"/>
                <w:b/>
                <w:bCs/>
                <w:color w:val="000000"/>
                <w:szCs w:val="24"/>
              </w:rPr>
            </w:pPr>
            <w:r w:rsidRPr="00AF4B68">
              <w:rPr>
                <w:rFonts w:eastAsia="Times New Roman"/>
                <w:b/>
                <w:bCs/>
                <w:color w:val="000000"/>
                <w:szCs w:val="24"/>
              </w:rPr>
              <w:t xml:space="preserve">3,051.6 </w:t>
            </w:r>
          </w:p>
        </w:tc>
      </w:tr>
    </w:tbl>
    <w:p w:rsidR="00A97204" w:rsidRDefault="00A97204" w:rsidP="00A97204">
      <w:pPr>
        <w:pBdr>
          <w:bottom w:val="single" w:sz="4" w:space="1" w:color="auto"/>
        </w:pBdr>
        <w:spacing w:after="0" w:line="240" w:lineRule="auto"/>
        <w:ind w:firstLine="720"/>
        <w:jc w:val="both"/>
        <w:rPr>
          <w:i/>
          <w:color w:val="000000"/>
          <w:szCs w:val="20"/>
        </w:rPr>
      </w:pPr>
    </w:p>
    <w:p w:rsidR="00CF46B4" w:rsidRPr="00A97204" w:rsidRDefault="00CF46B4" w:rsidP="00A97204">
      <w:pPr>
        <w:spacing w:after="0" w:line="240" w:lineRule="auto"/>
        <w:jc w:val="both"/>
        <w:rPr>
          <w:i/>
          <w:color w:val="000000"/>
          <w:sz w:val="20"/>
          <w:szCs w:val="20"/>
        </w:rPr>
      </w:pPr>
      <w:r w:rsidRPr="00A97204">
        <w:rPr>
          <w:i/>
          <w:color w:val="000000"/>
          <w:sz w:val="20"/>
          <w:szCs w:val="20"/>
        </w:rPr>
        <w:t>Source: Treasury Accounting System</w:t>
      </w:r>
    </w:p>
    <w:p w:rsidR="00CF46B4" w:rsidRPr="0032460A" w:rsidRDefault="00CF46B4" w:rsidP="00CF46B4">
      <w:pPr>
        <w:spacing w:after="0" w:line="240" w:lineRule="auto"/>
        <w:ind w:firstLine="720"/>
        <w:jc w:val="both"/>
        <w:rPr>
          <w:i/>
          <w:color w:val="000000"/>
          <w:szCs w:val="20"/>
        </w:rPr>
      </w:pPr>
    </w:p>
    <w:p w:rsidR="00CF46B4" w:rsidRPr="001B4189" w:rsidRDefault="00CF46B4" w:rsidP="00CF46B4">
      <w:pPr>
        <w:autoSpaceDE w:val="0"/>
        <w:autoSpaceDN w:val="0"/>
        <w:adjustRightInd w:val="0"/>
        <w:spacing w:after="0" w:line="240" w:lineRule="auto"/>
        <w:jc w:val="both"/>
        <w:rPr>
          <w:b/>
          <w:i/>
          <w:szCs w:val="24"/>
        </w:rPr>
      </w:pPr>
      <w:r>
        <w:rPr>
          <w:b/>
          <w:i/>
          <w:szCs w:val="24"/>
        </w:rPr>
        <w:t>4.4.1</w:t>
      </w:r>
      <w:r>
        <w:rPr>
          <w:b/>
          <w:i/>
          <w:szCs w:val="24"/>
        </w:rPr>
        <w:tab/>
      </w:r>
      <w:r w:rsidRPr="001B4189">
        <w:rPr>
          <w:b/>
          <w:i/>
          <w:szCs w:val="24"/>
        </w:rPr>
        <w:t xml:space="preserve">Missing Deeds of </w:t>
      </w:r>
      <w:proofErr w:type="spellStart"/>
      <w:r>
        <w:rPr>
          <w:b/>
          <w:i/>
          <w:szCs w:val="24"/>
        </w:rPr>
        <w:t>Acquit</w:t>
      </w:r>
      <w:r w:rsidRPr="001B4189">
        <w:rPr>
          <w:b/>
          <w:i/>
          <w:szCs w:val="24"/>
        </w:rPr>
        <w:t>tance</w:t>
      </w:r>
      <w:proofErr w:type="spellEnd"/>
    </w:p>
    <w:p w:rsidR="00CF46B4" w:rsidRDefault="00CF46B4" w:rsidP="00CF46B4">
      <w:pPr>
        <w:spacing w:after="0" w:line="240" w:lineRule="auto"/>
        <w:jc w:val="both"/>
        <w:rPr>
          <w:szCs w:val="24"/>
        </w:rPr>
      </w:pPr>
    </w:p>
    <w:p w:rsidR="00CF46B4" w:rsidRPr="00AF4B68" w:rsidRDefault="00CF46B4" w:rsidP="00CF46B4">
      <w:pPr>
        <w:spacing w:after="0" w:line="240" w:lineRule="auto"/>
        <w:jc w:val="both"/>
        <w:rPr>
          <w:szCs w:val="24"/>
        </w:rPr>
      </w:pPr>
      <w:r w:rsidRPr="00AF4B68">
        <w:rPr>
          <w:szCs w:val="24"/>
        </w:rPr>
        <w:t>In three c</w:t>
      </w:r>
      <w:r>
        <w:rPr>
          <w:szCs w:val="24"/>
        </w:rPr>
        <w:t xml:space="preserve">ases, certified copies of Deeds of </w:t>
      </w:r>
      <w:proofErr w:type="spellStart"/>
      <w:r>
        <w:rPr>
          <w:szCs w:val="24"/>
        </w:rPr>
        <w:t>Acquittance</w:t>
      </w:r>
      <w:proofErr w:type="spellEnd"/>
      <w:r>
        <w:rPr>
          <w:szCs w:val="24"/>
        </w:rPr>
        <w:t xml:space="preserve"> had</w:t>
      </w:r>
      <w:r w:rsidRPr="00AF4B68">
        <w:rPr>
          <w:szCs w:val="24"/>
        </w:rPr>
        <w:t xml:space="preserve"> </w:t>
      </w:r>
      <w:r>
        <w:rPr>
          <w:szCs w:val="24"/>
        </w:rPr>
        <w:t xml:space="preserve">not </w:t>
      </w:r>
      <w:r w:rsidRPr="00AF4B68">
        <w:rPr>
          <w:szCs w:val="24"/>
        </w:rPr>
        <w:t>been submitted to the Ministry</w:t>
      </w:r>
      <w:r>
        <w:rPr>
          <w:szCs w:val="24"/>
        </w:rPr>
        <w:t>,</w:t>
      </w:r>
      <w:r w:rsidRPr="00AF4B68">
        <w:rPr>
          <w:szCs w:val="24"/>
        </w:rPr>
        <w:t xml:space="preserve"> </w:t>
      </w:r>
      <w:r>
        <w:rPr>
          <w:szCs w:val="24"/>
        </w:rPr>
        <w:t>although the latter had</w:t>
      </w:r>
      <w:r w:rsidRPr="00AF4B68">
        <w:rPr>
          <w:szCs w:val="24"/>
        </w:rPr>
        <w:t xml:space="preserve"> already disbursed funds totaling Rs 14.3 million to the Notary between November 2012 and September 2016. </w:t>
      </w:r>
    </w:p>
    <w:p w:rsidR="00372A02" w:rsidRDefault="00372A02">
      <w:pPr>
        <w:rPr>
          <w:i/>
          <w:szCs w:val="24"/>
        </w:rPr>
      </w:pPr>
      <w:r>
        <w:rPr>
          <w:i/>
          <w:szCs w:val="24"/>
        </w:rPr>
        <w:br w:type="page"/>
      </w:r>
    </w:p>
    <w:p w:rsidR="00CF46B4" w:rsidRPr="00E43BEE" w:rsidRDefault="00CF46B4" w:rsidP="00CF46B4">
      <w:pPr>
        <w:spacing w:after="0" w:line="240" w:lineRule="auto"/>
        <w:jc w:val="both"/>
        <w:rPr>
          <w:b/>
          <w:i/>
          <w:szCs w:val="24"/>
        </w:rPr>
      </w:pPr>
      <w:r w:rsidRPr="00E43BEE">
        <w:rPr>
          <w:b/>
          <w:i/>
          <w:szCs w:val="24"/>
        </w:rPr>
        <w:lastRenderedPageBreak/>
        <w:t>Ministry’s Reply</w:t>
      </w:r>
    </w:p>
    <w:p w:rsidR="00CF46B4" w:rsidRDefault="00CF46B4" w:rsidP="00CF46B4">
      <w:pPr>
        <w:spacing w:after="0" w:line="240" w:lineRule="auto"/>
        <w:jc w:val="both"/>
        <w:rPr>
          <w:i/>
          <w:szCs w:val="24"/>
        </w:rPr>
      </w:pPr>
    </w:p>
    <w:p w:rsidR="00CF46B4" w:rsidRPr="00A55092" w:rsidRDefault="00CF46B4" w:rsidP="00CF46B4">
      <w:pPr>
        <w:spacing w:after="0" w:line="240" w:lineRule="auto"/>
        <w:jc w:val="both"/>
        <w:rPr>
          <w:szCs w:val="24"/>
        </w:rPr>
      </w:pPr>
      <w:r w:rsidRPr="00A55092">
        <w:rPr>
          <w:szCs w:val="24"/>
        </w:rPr>
        <w:t>A list of such cases is being compiled to inform the ‘Chamber of Notaries’ of the situation through the Solicitor General’s Office.</w:t>
      </w:r>
    </w:p>
    <w:p w:rsidR="00CF46B4" w:rsidRDefault="00CF46B4" w:rsidP="00CF46B4">
      <w:pPr>
        <w:spacing w:after="0" w:line="240" w:lineRule="auto"/>
        <w:jc w:val="both"/>
        <w:rPr>
          <w:b/>
          <w:i/>
          <w:color w:val="000000"/>
          <w:szCs w:val="24"/>
        </w:rPr>
      </w:pPr>
    </w:p>
    <w:p w:rsidR="00CF46B4" w:rsidRDefault="00CF46B4" w:rsidP="00CF46B4">
      <w:pPr>
        <w:spacing w:after="0" w:line="240" w:lineRule="auto"/>
        <w:jc w:val="both"/>
        <w:rPr>
          <w:b/>
          <w:i/>
          <w:color w:val="000000"/>
          <w:szCs w:val="24"/>
        </w:rPr>
      </w:pPr>
      <w:r>
        <w:rPr>
          <w:b/>
          <w:i/>
          <w:color w:val="000000"/>
          <w:szCs w:val="24"/>
        </w:rPr>
        <w:t>4.4.2</w:t>
      </w:r>
      <w:r>
        <w:rPr>
          <w:b/>
          <w:i/>
          <w:color w:val="000000"/>
          <w:szCs w:val="24"/>
        </w:rPr>
        <w:tab/>
      </w:r>
      <w:r w:rsidRPr="001B4189">
        <w:rPr>
          <w:b/>
          <w:i/>
          <w:color w:val="000000"/>
          <w:szCs w:val="24"/>
        </w:rPr>
        <w:t xml:space="preserve">Records of Acquisition </w:t>
      </w:r>
    </w:p>
    <w:p w:rsidR="00CF46B4" w:rsidRPr="001B4189" w:rsidRDefault="00CF46B4" w:rsidP="00CF46B4">
      <w:pPr>
        <w:spacing w:after="0" w:line="240" w:lineRule="auto"/>
        <w:jc w:val="both"/>
        <w:rPr>
          <w:b/>
          <w:i/>
          <w:color w:val="000000"/>
          <w:szCs w:val="24"/>
        </w:rPr>
      </w:pPr>
    </w:p>
    <w:p w:rsidR="00CF46B4" w:rsidRDefault="00CF46B4" w:rsidP="00E43BEE">
      <w:pPr>
        <w:spacing w:after="0" w:line="240" w:lineRule="auto"/>
        <w:jc w:val="both"/>
        <w:rPr>
          <w:szCs w:val="24"/>
        </w:rPr>
      </w:pPr>
      <w:r w:rsidRPr="00AF4B68">
        <w:rPr>
          <w:color w:val="000000"/>
          <w:szCs w:val="24"/>
        </w:rPr>
        <w:t>A total amount of Rs 64.6 million was paid in 2016-17 for seven ongoing projects</w:t>
      </w:r>
      <w:r>
        <w:rPr>
          <w:color w:val="000000"/>
          <w:szCs w:val="24"/>
        </w:rPr>
        <w:t>, as shown in Table 4-3</w:t>
      </w:r>
      <w:r w:rsidRPr="00AF4B68">
        <w:rPr>
          <w:color w:val="000000"/>
          <w:szCs w:val="24"/>
        </w:rPr>
        <w:t>.</w:t>
      </w:r>
      <w:r>
        <w:rPr>
          <w:szCs w:val="24"/>
        </w:rPr>
        <w:t xml:space="preserve"> For these projects, </w:t>
      </w:r>
      <w:r w:rsidRPr="00AF4B68">
        <w:rPr>
          <w:szCs w:val="24"/>
        </w:rPr>
        <w:t>essential information</w:t>
      </w:r>
      <w:r>
        <w:rPr>
          <w:szCs w:val="24"/>
        </w:rPr>
        <w:t>,</w:t>
      </w:r>
      <w:r w:rsidRPr="00AF4B68">
        <w:rPr>
          <w:szCs w:val="24"/>
        </w:rPr>
        <w:t xml:space="preserve"> such as name of former owners, extent of land acquired, </w:t>
      </w:r>
      <w:proofErr w:type="gramStart"/>
      <w:r w:rsidRPr="00AF4B68">
        <w:rPr>
          <w:szCs w:val="24"/>
        </w:rPr>
        <w:t>date</w:t>
      </w:r>
      <w:proofErr w:type="gramEnd"/>
      <w:r w:rsidRPr="00AF4B68">
        <w:rPr>
          <w:szCs w:val="24"/>
        </w:rPr>
        <w:t xml:space="preserve"> of transcription, amount assessed by the Valuation Department, cases referred to Board of Assessment, amount of compensation and interests already paid </w:t>
      </w:r>
      <w:r>
        <w:rPr>
          <w:szCs w:val="24"/>
        </w:rPr>
        <w:t xml:space="preserve">during previous years </w:t>
      </w:r>
      <w:r w:rsidRPr="00AF4B68">
        <w:rPr>
          <w:szCs w:val="24"/>
        </w:rPr>
        <w:t>together with any amount due</w:t>
      </w:r>
      <w:r>
        <w:rPr>
          <w:szCs w:val="24"/>
        </w:rPr>
        <w:t xml:space="preserve"> were not made available to my Officers</w:t>
      </w:r>
      <w:r w:rsidRPr="00AF4B68">
        <w:rPr>
          <w:szCs w:val="24"/>
        </w:rPr>
        <w:t xml:space="preserve">. </w:t>
      </w:r>
    </w:p>
    <w:p w:rsidR="00CF46B4" w:rsidRPr="00AF4B68" w:rsidRDefault="00CF46B4" w:rsidP="00CF46B4">
      <w:pPr>
        <w:spacing w:after="0" w:line="240" w:lineRule="auto"/>
        <w:jc w:val="both"/>
        <w:rPr>
          <w:szCs w:val="24"/>
        </w:rPr>
      </w:pPr>
    </w:p>
    <w:p w:rsidR="00CF46B4" w:rsidRDefault="00CF46B4" w:rsidP="00CF46B4">
      <w:pPr>
        <w:spacing w:after="0" w:line="240" w:lineRule="auto"/>
        <w:jc w:val="center"/>
        <w:rPr>
          <w:i/>
          <w:color w:val="000000"/>
          <w:szCs w:val="24"/>
        </w:rPr>
      </w:pPr>
      <w:r w:rsidRPr="008935DF">
        <w:rPr>
          <w:i/>
          <w:color w:val="000000"/>
          <w:szCs w:val="24"/>
        </w:rPr>
        <w:t xml:space="preserve">Table </w:t>
      </w:r>
      <w:bookmarkStart w:id="4" w:name="_Hlk507248954"/>
      <w:bookmarkStart w:id="5" w:name="_Hlk507248976"/>
      <w:r>
        <w:rPr>
          <w:i/>
          <w:color w:val="000000"/>
          <w:szCs w:val="24"/>
        </w:rPr>
        <w:t>4-</w:t>
      </w:r>
      <w:proofErr w:type="gramStart"/>
      <w:r>
        <w:rPr>
          <w:i/>
          <w:color w:val="000000"/>
          <w:szCs w:val="24"/>
        </w:rPr>
        <w:t>3</w:t>
      </w:r>
      <w:r w:rsidR="00E43BEE">
        <w:rPr>
          <w:i/>
          <w:color w:val="000000"/>
          <w:szCs w:val="24"/>
        </w:rPr>
        <w:t xml:space="preserve">  </w:t>
      </w:r>
      <w:r w:rsidRPr="008935DF">
        <w:rPr>
          <w:i/>
          <w:color w:val="000000"/>
          <w:szCs w:val="24"/>
        </w:rPr>
        <w:t>Projects</w:t>
      </w:r>
      <w:proofErr w:type="gramEnd"/>
      <w:r w:rsidRPr="008935DF">
        <w:rPr>
          <w:i/>
          <w:color w:val="000000"/>
          <w:szCs w:val="24"/>
        </w:rPr>
        <w:t xml:space="preserve"> Reco</w:t>
      </w:r>
      <w:bookmarkEnd w:id="4"/>
      <w:r w:rsidRPr="008935DF">
        <w:rPr>
          <w:i/>
          <w:color w:val="000000"/>
          <w:szCs w:val="24"/>
        </w:rPr>
        <w:t>rds</w:t>
      </w:r>
      <w:bookmarkEnd w:id="5"/>
    </w:p>
    <w:p w:rsidR="00E43BEE" w:rsidRDefault="00E43BEE" w:rsidP="00CF46B4">
      <w:pPr>
        <w:spacing w:after="0" w:line="240" w:lineRule="auto"/>
        <w:jc w:val="center"/>
        <w:rPr>
          <w:i/>
          <w:color w:val="000000"/>
          <w:szCs w:val="24"/>
        </w:rPr>
      </w:pPr>
    </w:p>
    <w:p w:rsidR="00CF46B4" w:rsidRPr="008935DF" w:rsidRDefault="00CF46B4" w:rsidP="00E43BEE">
      <w:pPr>
        <w:pBdr>
          <w:top w:val="single" w:sz="4" w:space="1" w:color="auto"/>
        </w:pBdr>
        <w:spacing w:after="0" w:line="240" w:lineRule="auto"/>
        <w:rPr>
          <w:i/>
          <w:color w:val="000000"/>
          <w:szCs w:val="24"/>
        </w:rPr>
      </w:pPr>
    </w:p>
    <w:tbl>
      <w:tblPr>
        <w:tblW w:w="0" w:type="auto"/>
        <w:jc w:val="center"/>
        <w:tblLook w:val="04A0" w:firstRow="1" w:lastRow="0" w:firstColumn="1" w:lastColumn="0" w:noHBand="0" w:noVBand="1"/>
      </w:tblPr>
      <w:tblGrid>
        <w:gridCol w:w="4396"/>
        <w:gridCol w:w="1543"/>
      </w:tblGrid>
      <w:tr w:rsidR="00CF46B4" w:rsidRPr="00AF4B68" w:rsidTr="00E43BEE">
        <w:trPr>
          <w:trHeight w:val="288"/>
          <w:jc w:val="center"/>
        </w:trPr>
        <w:tc>
          <w:tcPr>
            <w:tcW w:w="0" w:type="auto"/>
            <w:shd w:val="clear" w:color="auto" w:fill="auto"/>
            <w:noWrap/>
            <w:tcMar>
              <w:bottom w:w="142" w:type="dxa"/>
            </w:tcMar>
            <w:vAlign w:val="bottom"/>
            <w:hideMark/>
          </w:tcPr>
          <w:p w:rsidR="00CF46B4" w:rsidRPr="00AF4B68" w:rsidRDefault="00CF46B4" w:rsidP="00FF3135">
            <w:pPr>
              <w:spacing w:after="0" w:line="240" w:lineRule="auto"/>
              <w:rPr>
                <w:rFonts w:eastAsia="Times New Roman"/>
                <w:b/>
                <w:bCs/>
                <w:color w:val="000000"/>
                <w:szCs w:val="24"/>
              </w:rPr>
            </w:pPr>
            <w:r w:rsidRPr="00AF4B68">
              <w:rPr>
                <w:rFonts w:eastAsia="Times New Roman"/>
                <w:b/>
                <w:bCs/>
                <w:color w:val="000000"/>
                <w:szCs w:val="24"/>
              </w:rPr>
              <w:t>Projects</w:t>
            </w:r>
          </w:p>
        </w:tc>
        <w:tc>
          <w:tcPr>
            <w:tcW w:w="1543" w:type="dxa"/>
            <w:tcMar>
              <w:bottom w:w="142" w:type="dxa"/>
            </w:tcMar>
          </w:tcPr>
          <w:p w:rsidR="00CF46B4" w:rsidRPr="00AF4B68" w:rsidRDefault="00CF46B4" w:rsidP="00FF3135">
            <w:pPr>
              <w:spacing w:after="0" w:line="240" w:lineRule="auto"/>
              <w:jc w:val="center"/>
              <w:rPr>
                <w:rFonts w:eastAsia="Times New Roman"/>
                <w:b/>
                <w:bCs/>
                <w:color w:val="000000"/>
                <w:szCs w:val="24"/>
              </w:rPr>
            </w:pPr>
            <w:r w:rsidRPr="00AF4B68">
              <w:rPr>
                <w:rFonts w:eastAsia="Times New Roman"/>
                <w:b/>
                <w:bCs/>
                <w:color w:val="000000"/>
                <w:szCs w:val="24"/>
              </w:rPr>
              <w:t xml:space="preserve">Rs </w:t>
            </w:r>
            <w:r>
              <w:rPr>
                <w:rFonts w:eastAsia="Times New Roman"/>
                <w:b/>
                <w:bCs/>
                <w:color w:val="000000"/>
                <w:szCs w:val="24"/>
              </w:rPr>
              <w:t>m</w:t>
            </w:r>
            <w:r w:rsidRPr="00AF4B68">
              <w:rPr>
                <w:rFonts w:eastAsia="Times New Roman"/>
                <w:b/>
                <w:bCs/>
                <w:color w:val="000000"/>
                <w:szCs w:val="24"/>
              </w:rPr>
              <w:t>illion</w:t>
            </w:r>
          </w:p>
        </w:tc>
      </w:tr>
      <w:tr w:rsidR="00CF46B4" w:rsidRPr="00AF4B68" w:rsidTr="00E43BEE">
        <w:trPr>
          <w:trHeight w:val="288"/>
          <w:jc w:val="center"/>
        </w:trPr>
        <w:tc>
          <w:tcPr>
            <w:tcW w:w="0" w:type="auto"/>
            <w:shd w:val="clear" w:color="auto" w:fill="auto"/>
            <w:tcMar>
              <w:bottom w:w="142" w:type="dxa"/>
            </w:tcMar>
            <w:hideMark/>
          </w:tcPr>
          <w:p w:rsidR="00CF46B4" w:rsidRPr="00AF4B68" w:rsidRDefault="00CF46B4" w:rsidP="00FF3135">
            <w:pPr>
              <w:spacing w:after="0" w:line="240" w:lineRule="auto"/>
              <w:rPr>
                <w:rFonts w:eastAsia="Times New Roman"/>
                <w:szCs w:val="24"/>
              </w:rPr>
            </w:pPr>
            <w:r w:rsidRPr="00AF4B68">
              <w:rPr>
                <w:rFonts w:eastAsia="Times New Roman"/>
                <w:szCs w:val="24"/>
              </w:rPr>
              <w:t xml:space="preserve">Rehabilitation works of la </w:t>
            </w:r>
            <w:proofErr w:type="spellStart"/>
            <w:r w:rsidRPr="00AF4B68">
              <w:rPr>
                <w:rFonts w:eastAsia="Times New Roman"/>
                <w:szCs w:val="24"/>
              </w:rPr>
              <w:t>Ferme</w:t>
            </w:r>
            <w:proofErr w:type="spellEnd"/>
            <w:r w:rsidRPr="00AF4B68">
              <w:rPr>
                <w:rFonts w:eastAsia="Times New Roman"/>
                <w:szCs w:val="24"/>
              </w:rPr>
              <w:t xml:space="preserve"> Dam</w:t>
            </w:r>
          </w:p>
        </w:tc>
        <w:tc>
          <w:tcPr>
            <w:tcW w:w="1543" w:type="dxa"/>
            <w:tcMar>
              <w:bottom w:w="142" w:type="dxa"/>
            </w:tcMar>
          </w:tcPr>
          <w:p w:rsidR="00CF46B4" w:rsidRPr="00AF4B68" w:rsidRDefault="00CF46B4" w:rsidP="00FF3135">
            <w:pPr>
              <w:spacing w:after="0" w:line="240" w:lineRule="auto"/>
              <w:ind w:right="355"/>
              <w:jc w:val="right"/>
              <w:rPr>
                <w:rFonts w:eastAsia="Times New Roman"/>
                <w:color w:val="000000"/>
                <w:szCs w:val="24"/>
              </w:rPr>
            </w:pPr>
            <w:r w:rsidRPr="00AF4B68">
              <w:rPr>
                <w:rFonts w:eastAsia="Times New Roman"/>
                <w:color w:val="000000"/>
                <w:szCs w:val="24"/>
              </w:rPr>
              <w:t>5.4</w:t>
            </w:r>
          </w:p>
        </w:tc>
      </w:tr>
      <w:tr w:rsidR="00CF46B4" w:rsidRPr="00AF4B68" w:rsidTr="00E43BEE">
        <w:trPr>
          <w:trHeight w:val="288"/>
          <w:jc w:val="center"/>
        </w:trPr>
        <w:tc>
          <w:tcPr>
            <w:tcW w:w="0" w:type="auto"/>
            <w:shd w:val="clear" w:color="auto" w:fill="auto"/>
            <w:noWrap/>
            <w:tcMar>
              <w:bottom w:w="142" w:type="dxa"/>
            </w:tcMar>
            <w:vAlign w:val="bottom"/>
            <w:hideMark/>
          </w:tcPr>
          <w:p w:rsidR="00CF46B4" w:rsidRPr="00AF4B68" w:rsidRDefault="00CF46B4" w:rsidP="00FF3135">
            <w:pPr>
              <w:spacing w:after="0" w:line="240" w:lineRule="auto"/>
              <w:rPr>
                <w:rFonts w:eastAsia="Times New Roman"/>
                <w:color w:val="000000"/>
                <w:szCs w:val="24"/>
              </w:rPr>
            </w:pPr>
            <w:r w:rsidRPr="00AF4B68">
              <w:rPr>
                <w:rFonts w:eastAsia="Times New Roman"/>
                <w:color w:val="000000"/>
                <w:szCs w:val="24"/>
              </w:rPr>
              <w:t>Construction of 2nd part Ring Road</w:t>
            </w:r>
          </w:p>
        </w:tc>
        <w:tc>
          <w:tcPr>
            <w:tcW w:w="1543" w:type="dxa"/>
            <w:tcMar>
              <w:bottom w:w="142" w:type="dxa"/>
            </w:tcMar>
          </w:tcPr>
          <w:p w:rsidR="00CF46B4" w:rsidRPr="00AF4B68" w:rsidRDefault="00CF46B4" w:rsidP="00FF3135">
            <w:pPr>
              <w:spacing w:after="0" w:line="240" w:lineRule="auto"/>
              <w:ind w:right="355"/>
              <w:jc w:val="right"/>
              <w:rPr>
                <w:rFonts w:eastAsia="Times New Roman"/>
                <w:color w:val="000000"/>
                <w:szCs w:val="24"/>
              </w:rPr>
            </w:pPr>
            <w:r w:rsidRPr="00AF4B68">
              <w:rPr>
                <w:rFonts w:eastAsia="Times New Roman"/>
                <w:color w:val="000000"/>
                <w:szCs w:val="24"/>
              </w:rPr>
              <w:t>39.3</w:t>
            </w:r>
          </w:p>
        </w:tc>
      </w:tr>
      <w:tr w:rsidR="00CF46B4" w:rsidRPr="00AF4B68" w:rsidTr="00E43BEE">
        <w:trPr>
          <w:trHeight w:val="288"/>
          <w:jc w:val="center"/>
        </w:trPr>
        <w:tc>
          <w:tcPr>
            <w:tcW w:w="0" w:type="auto"/>
            <w:shd w:val="clear" w:color="auto" w:fill="auto"/>
            <w:tcMar>
              <w:bottom w:w="142" w:type="dxa"/>
            </w:tcMar>
            <w:vAlign w:val="bottom"/>
            <w:hideMark/>
          </w:tcPr>
          <w:p w:rsidR="00CF46B4" w:rsidRPr="00AF4B68" w:rsidRDefault="00CF46B4" w:rsidP="00FF3135">
            <w:pPr>
              <w:spacing w:after="0" w:line="240" w:lineRule="auto"/>
              <w:rPr>
                <w:rFonts w:eastAsia="Times New Roman"/>
                <w:szCs w:val="24"/>
              </w:rPr>
            </w:pPr>
            <w:r w:rsidRPr="00AF4B68">
              <w:rPr>
                <w:rFonts w:eastAsia="Times New Roman"/>
                <w:szCs w:val="24"/>
              </w:rPr>
              <w:t>Improvement of QM Road</w:t>
            </w:r>
          </w:p>
        </w:tc>
        <w:tc>
          <w:tcPr>
            <w:tcW w:w="1543" w:type="dxa"/>
            <w:tcMar>
              <w:bottom w:w="142" w:type="dxa"/>
            </w:tcMar>
          </w:tcPr>
          <w:p w:rsidR="00CF46B4" w:rsidRPr="00AF4B68" w:rsidRDefault="00CF46B4" w:rsidP="00FF3135">
            <w:pPr>
              <w:spacing w:after="0" w:line="240" w:lineRule="auto"/>
              <w:ind w:right="355"/>
              <w:jc w:val="right"/>
              <w:rPr>
                <w:rFonts w:eastAsia="Times New Roman"/>
                <w:color w:val="000000"/>
                <w:szCs w:val="24"/>
              </w:rPr>
            </w:pPr>
            <w:r w:rsidRPr="00AF4B68">
              <w:rPr>
                <w:rFonts w:eastAsia="Times New Roman"/>
                <w:color w:val="000000"/>
                <w:szCs w:val="24"/>
              </w:rPr>
              <w:t>4.9</w:t>
            </w:r>
          </w:p>
        </w:tc>
      </w:tr>
      <w:tr w:rsidR="00CF46B4" w:rsidRPr="00AF4B68" w:rsidTr="00E43BEE">
        <w:trPr>
          <w:trHeight w:val="288"/>
          <w:jc w:val="center"/>
        </w:trPr>
        <w:tc>
          <w:tcPr>
            <w:tcW w:w="0" w:type="auto"/>
            <w:shd w:val="clear" w:color="auto" w:fill="auto"/>
            <w:noWrap/>
            <w:tcMar>
              <w:bottom w:w="142" w:type="dxa"/>
            </w:tcMar>
            <w:vAlign w:val="bottom"/>
            <w:hideMark/>
          </w:tcPr>
          <w:p w:rsidR="00CF46B4" w:rsidRPr="00AF4B68" w:rsidRDefault="00CF46B4" w:rsidP="00FF3135">
            <w:pPr>
              <w:spacing w:after="0" w:line="240" w:lineRule="auto"/>
              <w:rPr>
                <w:rFonts w:eastAsia="Times New Roman"/>
                <w:color w:val="000000"/>
                <w:szCs w:val="24"/>
              </w:rPr>
            </w:pPr>
            <w:r w:rsidRPr="00AF4B68">
              <w:rPr>
                <w:rFonts w:eastAsia="Times New Roman"/>
                <w:color w:val="000000"/>
                <w:szCs w:val="24"/>
              </w:rPr>
              <w:t xml:space="preserve">Construction of Verdun- </w:t>
            </w:r>
            <w:proofErr w:type="spellStart"/>
            <w:r w:rsidRPr="00AF4B68">
              <w:rPr>
                <w:rFonts w:eastAsia="Times New Roman"/>
                <w:color w:val="000000"/>
                <w:szCs w:val="24"/>
              </w:rPr>
              <w:t>Trianon</w:t>
            </w:r>
            <w:proofErr w:type="spellEnd"/>
            <w:r w:rsidRPr="00AF4B68">
              <w:rPr>
                <w:rFonts w:eastAsia="Times New Roman"/>
                <w:color w:val="000000"/>
                <w:szCs w:val="24"/>
              </w:rPr>
              <w:t xml:space="preserve"> link Road</w:t>
            </w:r>
          </w:p>
        </w:tc>
        <w:tc>
          <w:tcPr>
            <w:tcW w:w="1543" w:type="dxa"/>
            <w:tcMar>
              <w:bottom w:w="142" w:type="dxa"/>
            </w:tcMar>
          </w:tcPr>
          <w:p w:rsidR="00CF46B4" w:rsidRPr="00AF4B68" w:rsidRDefault="00CF46B4" w:rsidP="00FF3135">
            <w:pPr>
              <w:spacing w:after="0" w:line="240" w:lineRule="auto"/>
              <w:ind w:right="355"/>
              <w:jc w:val="right"/>
              <w:rPr>
                <w:rFonts w:eastAsia="Times New Roman"/>
                <w:color w:val="000000"/>
                <w:szCs w:val="24"/>
              </w:rPr>
            </w:pPr>
            <w:r w:rsidRPr="00AF4B68">
              <w:rPr>
                <w:rFonts w:eastAsia="Times New Roman"/>
                <w:color w:val="000000"/>
                <w:szCs w:val="24"/>
              </w:rPr>
              <w:t>12.5</w:t>
            </w:r>
          </w:p>
        </w:tc>
      </w:tr>
      <w:tr w:rsidR="00CF46B4" w:rsidRPr="00AF4B68" w:rsidTr="00E43BEE">
        <w:trPr>
          <w:trHeight w:val="288"/>
          <w:jc w:val="center"/>
        </w:trPr>
        <w:tc>
          <w:tcPr>
            <w:tcW w:w="0" w:type="auto"/>
            <w:shd w:val="clear" w:color="auto" w:fill="auto"/>
            <w:tcMar>
              <w:bottom w:w="142" w:type="dxa"/>
            </w:tcMar>
            <w:vAlign w:val="bottom"/>
            <w:hideMark/>
          </w:tcPr>
          <w:p w:rsidR="00CF46B4" w:rsidRPr="00AF4B68" w:rsidRDefault="00CF46B4" w:rsidP="00FF3135">
            <w:pPr>
              <w:spacing w:after="0" w:line="240" w:lineRule="auto"/>
              <w:rPr>
                <w:rFonts w:eastAsia="Times New Roman"/>
                <w:szCs w:val="24"/>
              </w:rPr>
            </w:pPr>
            <w:r w:rsidRPr="00AF4B68">
              <w:rPr>
                <w:rFonts w:eastAsia="Times New Roman"/>
                <w:szCs w:val="24"/>
              </w:rPr>
              <w:t xml:space="preserve">Phoenix Beau </w:t>
            </w:r>
            <w:proofErr w:type="spellStart"/>
            <w:r w:rsidRPr="00AF4B68">
              <w:rPr>
                <w:rFonts w:eastAsia="Times New Roman"/>
                <w:szCs w:val="24"/>
              </w:rPr>
              <w:t>Songes</w:t>
            </w:r>
            <w:proofErr w:type="spellEnd"/>
            <w:r w:rsidRPr="00AF4B68">
              <w:rPr>
                <w:rFonts w:eastAsia="Times New Roman"/>
                <w:szCs w:val="24"/>
              </w:rPr>
              <w:t xml:space="preserve"> Link Road</w:t>
            </w:r>
          </w:p>
        </w:tc>
        <w:tc>
          <w:tcPr>
            <w:tcW w:w="1543" w:type="dxa"/>
            <w:tcMar>
              <w:bottom w:w="142" w:type="dxa"/>
            </w:tcMar>
          </w:tcPr>
          <w:p w:rsidR="00CF46B4" w:rsidRPr="00AF4B68" w:rsidRDefault="00CF46B4" w:rsidP="00FF3135">
            <w:pPr>
              <w:spacing w:after="0" w:line="240" w:lineRule="auto"/>
              <w:ind w:right="355"/>
              <w:jc w:val="right"/>
              <w:rPr>
                <w:rFonts w:eastAsia="Times New Roman"/>
                <w:color w:val="000000"/>
                <w:szCs w:val="24"/>
              </w:rPr>
            </w:pPr>
            <w:r w:rsidRPr="00AF4B68">
              <w:rPr>
                <w:rFonts w:eastAsia="Times New Roman"/>
                <w:color w:val="000000"/>
                <w:szCs w:val="24"/>
              </w:rPr>
              <w:t>1.4</w:t>
            </w:r>
          </w:p>
        </w:tc>
      </w:tr>
      <w:tr w:rsidR="00CF46B4" w:rsidRPr="00AF4B68" w:rsidTr="00E43BEE">
        <w:trPr>
          <w:trHeight w:val="288"/>
          <w:jc w:val="center"/>
        </w:trPr>
        <w:tc>
          <w:tcPr>
            <w:tcW w:w="0" w:type="auto"/>
            <w:shd w:val="clear" w:color="auto" w:fill="auto"/>
            <w:noWrap/>
            <w:tcMar>
              <w:bottom w:w="142" w:type="dxa"/>
            </w:tcMar>
            <w:vAlign w:val="bottom"/>
            <w:hideMark/>
          </w:tcPr>
          <w:p w:rsidR="00CF46B4" w:rsidRPr="00AF4B68" w:rsidRDefault="00CF46B4" w:rsidP="00FF3135">
            <w:pPr>
              <w:spacing w:after="0" w:line="240" w:lineRule="auto"/>
              <w:rPr>
                <w:rFonts w:eastAsia="Times New Roman"/>
                <w:color w:val="000000"/>
                <w:szCs w:val="24"/>
              </w:rPr>
            </w:pPr>
            <w:r w:rsidRPr="00AF4B68">
              <w:rPr>
                <w:rFonts w:eastAsia="Times New Roman"/>
                <w:color w:val="000000"/>
                <w:szCs w:val="24"/>
              </w:rPr>
              <w:t xml:space="preserve">Construction of </w:t>
            </w:r>
            <w:proofErr w:type="spellStart"/>
            <w:r w:rsidRPr="00AF4B68">
              <w:rPr>
                <w:rFonts w:eastAsia="Times New Roman"/>
                <w:color w:val="000000"/>
                <w:szCs w:val="24"/>
              </w:rPr>
              <w:t>Triolet</w:t>
            </w:r>
            <w:proofErr w:type="spellEnd"/>
            <w:r w:rsidRPr="00AF4B68">
              <w:rPr>
                <w:rFonts w:eastAsia="Times New Roman"/>
                <w:color w:val="000000"/>
                <w:szCs w:val="24"/>
              </w:rPr>
              <w:t xml:space="preserve"> Bypass</w:t>
            </w:r>
          </w:p>
        </w:tc>
        <w:tc>
          <w:tcPr>
            <w:tcW w:w="1543" w:type="dxa"/>
            <w:tcMar>
              <w:bottom w:w="142" w:type="dxa"/>
            </w:tcMar>
          </w:tcPr>
          <w:p w:rsidR="00CF46B4" w:rsidRPr="00AF4B68" w:rsidRDefault="00CF46B4" w:rsidP="00FF3135">
            <w:pPr>
              <w:spacing w:after="0" w:line="240" w:lineRule="auto"/>
              <w:ind w:right="355"/>
              <w:jc w:val="right"/>
              <w:rPr>
                <w:rFonts w:eastAsia="Times New Roman"/>
                <w:color w:val="000000"/>
                <w:szCs w:val="24"/>
              </w:rPr>
            </w:pPr>
            <w:r w:rsidRPr="00AF4B68">
              <w:rPr>
                <w:rFonts w:eastAsia="Times New Roman"/>
                <w:color w:val="000000"/>
                <w:szCs w:val="24"/>
              </w:rPr>
              <w:t>1.1</w:t>
            </w:r>
          </w:p>
        </w:tc>
      </w:tr>
      <w:tr w:rsidR="00CF46B4" w:rsidRPr="00AF4B68" w:rsidTr="00E43BEE">
        <w:trPr>
          <w:trHeight w:val="288"/>
          <w:jc w:val="center"/>
        </w:trPr>
        <w:tc>
          <w:tcPr>
            <w:tcW w:w="0" w:type="auto"/>
            <w:shd w:val="clear" w:color="auto" w:fill="auto"/>
            <w:noWrap/>
            <w:tcMar>
              <w:bottom w:w="142" w:type="dxa"/>
            </w:tcMar>
            <w:vAlign w:val="bottom"/>
            <w:hideMark/>
          </w:tcPr>
          <w:p w:rsidR="00CF46B4" w:rsidRPr="00AF4B68" w:rsidRDefault="00CF46B4" w:rsidP="00FF3135">
            <w:pPr>
              <w:spacing w:after="0" w:line="240" w:lineRule="auto"/>
              <w:rPr>
                <w:rFonts w:eastAsia="Times New Roman"/>
                <w:color w:val="000000"/>
                <w:szCs w:val="24"/>
              </w:rPr>
            </w:pPr>
            <w:r w:rsidRPr="00AF4B68">
              <w:rPr>
                <w:rFonts w:eastAsia="Times New Roman"/>
                <w:color w:val="000000"/>
                <w:szCs w:val="24"/>
              </w:rPr>
              <w:t>East Coast Trunk Road</w:t>
            </w:r>
          </w:p>
        </w:tc>
        <w:tc>
          <w:tcPr>
            <w:tcW w:w="1543" w:type="dxa"/>
            <w:tcMar>
              <w:bottom w:w="142" w:type="dxa"/>
            </w:tcMar>
          </w:tcPr>
          <w:p w:rsidR="00CF46B4" w:rsidRPr="00AF4B68" w:rsidRDefault="00CF46B4" w:rsidP="00FF3135">
            <w:pPr>
              <w:spacing w:after="0" w:line="240" w:lineRule="auto"/>
              <w:ind w:right="355"/>
              <w:jc w:val="right"/>
              <w:rPr>
                <w:rFonts w:eastAsia="Times New Roman"/>
                <w:color w:val="000000"/>
                <w:szCs w:val="24"/>
              </w:rPr>
            </w:pPr>
            <w:r w:rsidRPr="00AF4B68">
              <w:rPr>
                <w:rFonts w:eastAsia="Times New Roman"/>
                <w:color w:val="000000"/>
                <w:szCs w:val="24"/>
              </w:rPr>
              <w:t>0</w:t>
            </w:r>
          </w:p>
        </w:tc>
      </w:tr>
      <w:tr w:rsidR="00CF46B4" w:rsidRPr="001B4189" w:rsidTr="00CF46B4">
        <w:trPr>
          <w:trHeight w:val="288"/>
          <w:jc w:val="center"/>
        </w:trPr>
        <w:tc>
          <w:tcPr>
            <w:tcW w:w="0" w:type="auto"/>
            <w:shd w:val="clear" w:color="auto" w:fill="auto"/>
            <w:noWrap/>
            <w:vAlign w:val="bottom"/>
            <w:hideMark/>
          </w:tcPr>
          <w:p w:rsidR="00CF46B4" w:rsidRPr="001B4189" w:rsidRDefault="00CF46B4" w:rsidP="00FF3135">
            <w:pPr>
              <w:spacing w:after="0" w:line="240" w:lineRule="auto"/>
              <w:rPr>
                <w:rFonts w:eastAsia="Times New Roman"/>
                <w:b/>
                <w:bCs/>
                <w:color w:val="000000"/>
                <w:szCs w:val="24"/>
              </w:rPr>
            </w:pPr>
            <w:r w:rsidRPr="001B4189">
              <w:rPr>
                <w:rFonts w:eastAsia="Times New Roman"/>
                <w:b/>
                <w:bCs/>
                <w:color w:val="000000"/>
                <w:szCs w:val="24"/>
              </w:rPr>
              <w:t>Total</w:t>
            </w:r>
          </w:p>
        </w:tc>
        <w:tc>
          <w:tcPr>
            <w:tcW w:w="1543" w:type="dxa"/>
          </w:tcPr>
          <w:p w:rsidR="00CF46B4" w:rsidRPr="001B4189" w:rsidRDefault="00CF46B4" w:rsidP="00FF3135">
            <w:pPr>
              <w:spacing w:after="0" w:line="240" w:lineRule="auto"/>
              <w:ind w:right="355"/>
              <w:jc w:val="right"/>
              <w:rPr>
                <w:rFonts w:eastAsia="Times New Roman"/>
                <w:b/>
                <w:bCs/>
                <w:color w:val="000000"/>
                <w:szCs w:val="24"/>
              </w:rPr>
            </w:pPr>
            <w:r w:rsidRPr="001B4189">
              <w:rPr>
                <w:rFonts w:eastAsia="Times New Roman"/>
                <w:b/>
                <w:bCs/>
                <w:color w:val="000000"/>
                <w:szCs w:val="24"/>
              </w:rPr>
              <w:t>64.6</w:t>
            </w:r>
          </w:p>
        </w:tc>
      </w:tr>
    </w:tbl>
    <w:p w:rsidR="00CF46B4" w:rsidRDefault="00CF46B4" w:rsidP="00C274C8">
      <w:pPr>
        <w:pBdr>
          <w:bottom w:val="single" w:sz="4" w:space="1" w:color="auto"/>
        </w:pBdr>
        <w:spacing w:after="0" w:line="240" w:lineRule="auto"/>
        <w:jc w:val="both"/>
        <w:rPr>
          <w:i/>
          <w:szCs w:val="24"/>
        </w:rPr>
      </w:pPr>
    </w:p>
    <w:p w:rsidR="00CF46B4" w:rsidRPr="00E43BEE" w:rsidRDefault="00CF46B4" w:rsidP="00E43BEE">
      <w:pPr>
        <w:spacing w:after="0" w:line="240" w:lineRule="auto"/>
        <w:jc w:val="both"/>
        <w:rPr>
          <w:i/>
          <w:sz w:val="20"/>
          <w:szCs w:val="20"/>
        </w:rPr>
      </w:pPr>
      <w:proofErr w:type="spellStart"/>
      <w:r w:rsidRPr="00E43BEE">
        <w:rPr>
          <w:i/>
          <w:sz w:val="20"/>
          <w:szCs w:val="20"/>
        </w:rPr>
        <w:t>Source</w:t>
      </w:r>
      <w:proofErr w:type="gramStart"/>
      <w:r w:rsidRPr="00E43BEE">
        <w:rPr>
          <w:i/>
          <w:sz w:val="20"/>
          <w:szCs w:val="20"/>
        </w:rPr>
        <w:t>:Treasury</w:t>
      </w:r>
      <w:proofErr w:type="spellEnd"/>
      <w:proofErr w:type="gramEnd"/>
      <w:r w:rsidRPr="00E43BEE">
        <w:rPr>
          <w:i/>
          <w:sz w:val="20"/>
          <w:szCs w:val="20"/>
        </w:rPr>
        <w:t xml:space="preserve"> Accounting System</w:t>
      </w:r>
    </w:p>
    <w:p w:rsidR="00CF46B4" w:rsidRDefault="00CF46B4" w:rsidP="00CF46B4">
      <w:pPr>
        <w:spacing w:after="0" w:line="240" w:lineRule="auto"/>
        <w:jc w:val="both"/>
        <w:rPr>
          <w:b/>
          <w:i/>
          <w:szCs w:val="24"/>
        </w:rPr>
      </w:pPr>
    </w:p>
    <w:p w:rsidR="00AD08B6" w:rsidRPr="00AD08B6" w:rsidRDefault="00AD08B6" w:rsidP="00AD08B6">
      <w:pPr>
        <w:spacing w:after="0" w:line="240" w:lineRule="auto"/>
        <w:rPr>
          <w:rFonts w:eastAsiaTheme="minorHAnsi"/>
          <w:b/>
          <w:i/>
          <w:szCs w:val="24"/>
        </w:rPr>
      </w:pPr>
      <w:r w:rsidRPr="00AD08B6">
        <w:rPr>
          <w:rFonts w:eastAsiaTheme="minorHAnsi"/>
          <w:b/>
          <w:i/>
          <w:szCs w:val="24"/>
        </w:rPr>
        <w:t>Ministry’s Reply</w:t>
      </w:r>
    </w:p>
    <w:p w:rsidR="00AD08B6" w:rsidRDefault="00AD08B6" w:rsidP="00AD08B6">
      <w:pPr>
        <w:spacing w:after="0" w:line="240" w:lineRule="auto"/>
        <w:rPr>
          <w:rFonts w:eastAsiaTheme="minorHAnsi"/>
          <w:szCs w:val="24"/>
        </w:rPr>
      </w:pPr>
    </w:p>
    <w:p w:rsidR="00AD08B6" w:rsidRPr="00AD08B6" w:rsidRDefault="00AD08B6" w:rsidP="00AD08B6">
      <w:pPr>
        <w:spacing w:after="0" w:line="240" w:lineRule="auto"/>
        <w:rPr>
          <w:rFonts w:eastAsiaTheme="minorHAnsi"/>
          <w:szCs w:val="24"/>
        </w:rPr>
      </w:pPr>
      <w:r w:rsidRPr="00AD08B6">
        <w:rPr>
          <w:rFonts w:eastAsiaTheme="minorHAnsi"/>
          <w:szCs w:val="24"/>
        </w:rPr>
        <w:t>The State Land Register</w:t>
      </w:r>
      <w:r w:rsidR="00CF5CC4">
        <w:rPr>
          <w:rFonts w:eastAsiaTheme="minorHAnsi"/>
          <w:szCs w:val="24"/>
        </w:rPr>
        <w:t>,</w:t>
      </w:r>
      <w:r w:rsidRPr="00AD08B6">
        <w:rPr>
          <w:rFonts w:eastAsiaTheme="minorHAnsi"/>
          <w:szCs w:val="24"/>
        </w:rPr>
        <w:t xml:space="preserve"> which is currently being set up, will comprise a module on vesting and acquisition of Land.  This module will enable the Ministry to maintain proper databases of the lands being vested and acquired.  </w:t>
      </w:r>
    </w:p>
    <w:p w:rsidR="00AD08B6" w:rsidRPr="00AD08B6" w:rsidRDefault="00AD08B6" w:rsidP="00AD08B6">
      <w:pPr>
        <w:spacing w:after="0" w:line="240" w:lineRule="auto"/>
        <w:rPr>
          <w:rFonts w:eastAsiaTheme="minorHAnsi"/>
          <w:szCs w:val="24"/>
        </w:rPr>
      </w:pPr>
    </w:p>
    <w:p w:rsidR="00AD08B6" w:rsidRPr="00AD08B6" w:rsidRDefault="00AD08B6" w:rsidP="00CF5CC4">
      <w:pPr>
        <w:spacing w:after="0" w:line="240" w:lineRule="auto"/>
        <w:jc w:val="both"/>
        <w:rPr>
          <w:rFonts w:eastAsiaTheme="minorHAnsi"/>
          <w:szCs w:val="24"/>
        </w:rPr>
      </w:pPr>
      <w:r w:rsidRPr="00AD08B6">
        <w:rPr>
          <w:rFonts w:eastAsiaTheme="minorHAnsi"/>
          <w:szCs w:val="24"/>
        </w:rPr>
        <w:t>Until the coming into operation of the State Land Registe</w:t>
      </w:r>
      <w:r w:rsidR="00CF5CC4">
        <w:rPr>
          <w:rFonts w:eastAsiaTheme="minorHAnsi"/>
          <w:szCs w:val="24"/>
        </w:rPr>
        <w:t>r, officers of the Acquisition S</w:t>
      </w:r>
      <w:r w:rsidRPr="00AD08B6">
        <w:rPr>
          <w:rFonts w:eastAsiaTheme="minorHAnsi"/>
          <w:szCs w:val="24"/>
        </w:rPr>
        <w:t>ection maintain a record of the lands acquired.  Arrangements have been made to reinforce the team with supporting staff so as to keep the recordings updated and easily retrievable.</w:t>
      </w:r>
    </w:p>
    <w:p w:rsidR="00AD08B6" w:rsidRDefault="00AD08B6" w:rsidP="00CF46B4">
      <w:pPr>
        <w:spacing w:after="0" w:line="240" w:lineRule="auto"/>
        <w:jc w:val="both"/>
        <w:rPr>
          <w:b/>
          <w:i/>
          <w:szCs w:val="24"/>
        </w:rPr>
      </w:pPr>
    </w:p>
    <w:p w:rsidR="00CF46B4" w:rsidRDefault="008C084B" w:rsidP="00CF46B4">
      <w:pPr>
        <w:spacing w:after="0" w:line="240" w:lineRule="auto"/>
        <w:jc w:val="both"/>
        <w:rPr>
          <w:b/>
          <w:i/>
          <w:szCs w:val="24"/>
        </w:rPr>
      </w:pPr>
      <w:r>
        <w:rPr>
          <w:b/>
          <w:i/>
          <w:szCs w:val="24"/>
        </w:rPr>
        <w:t>4.</w:t>
      </w:r>
      <w:r w:rsidR="00CF46B4">
        <w:rPr>
          <w:b/>
          <w:i/>
          <w:szCs w:val="24"/>
        </w:rPr>
        <w:t>4.3</w:t>
      </w:r>
      <w:r w:rsidR="00CF46B4">
        <w:rPr>
          <w:b/>
          <w:i/>
          <w:szCs w:val="24"/>
        </w:rPr>
        <w:tab/>
        <w:t>Interest</w:t>
      </w:r>
      <w:r w:rsidR="00CF46B4" w:rsidRPr="00AF4B68">
        <w:rPr>
          <w:b/>
          <w:i/>
          <w:szCs w:val="24"/>
        </w:rPr>
        <w:t xml:space="preserve"> Payment</w:t>
      </w:r>
      <w:r w:rsidR="00CF46B4">
        <w:rPr>
          <w:b/>
          <w:i/>
          <w:szCs w:val="24"/>
        </w:rPr>
        <w:t>s</w:t>
      </w:r>
    </w:p>
    <w:p w:rsidR="00CF46B4" w:rsidRPr="00AF4B68" w:rsidRDefault="00CF46B4" w:rsidP="00CF46B4">
      <w:pPr>
        <w:spacing w:after="0" w:line="240" w:lineRule="auto"/>
        <w:jc w:val="both"/>
        <w:rPr>
          <w:b/>
          <w:i/>
          <w:szCs w:val="24"/>
        </w:rPr>
      </w:pPr>
    </w:p>
    <w:p w:rsidR="00CF46B4" w:rsidRDefault="00CF46B4" w:rsidP="00CF46B4">
      <w:pPr>
        <w:autoSpaceDE w:val="0"/>
        <w:autoSpaceDN w:val="0"/>
        <w:adjustRightInd w:val="0"/>
        <w:spacing w:after="0" w:line="240" w:lineRule="auto"/>
        <w:jc w:val="both"/>
        <w:rPr>
          <w:rFonts w:eastAsia="Times New Roman"/>
          <w:color w:val="000000"/>
          <w:szCs w:val="24"/>
        </w:rPr>
      </w:pPr>
      <w:r w:rsidRPr="00AF4B68">
        <w:rPr>
          <w:rFonts w:eastAsia="Times New Roman"/>
          <w:color w:val="000000"/>
          <w:szCs w:val="24"/>
        </w:rPr>
        <w:t>Between January 2013 and June 2017, the Ministry has paid interests totaling Rs 475.9 million</w:t>
      </w:r>
      <w:r>
        <w:rPr>
          <w:rFonts w:eastAsia="Times New Roman"/>
          <w:color w:val="000000"/>
          <w:szCs w:val="24"/>
        </w:rPr>
        <w:t>,</w:t>
      </w:r>
      <w:r w:rsidRPr="00AF4B68">
        <w:rPr>
          <w:rFonts w:eastAsia="Times New Roman"/>
          <w:color w:val="000000"/>
          <w:szCs w:val="24"/>
        </w:rPr>
        <w:t xml:space="preserve"> including Rs 113.6 million</w:t>
      </w:r>
      <w:r>
        <w:rPr>
          <w:rFonts w:eastAsia="Times New Roman"/>
          <w:color w:val="000000"/>
          <w:szCs w:val="24"/>
        </w:rPr>
        <w:t xml:space="preserve"> for 2016-17</w:t>
      </w:r>
      <w:r w:rsidRPr="00AF4B68">
        <w:rPr>
          <w:rFonts w:eastAsia="Times New Roman"/>
          <w:color w:val="000000"/>
          <w:szCs w:val="24"/>
        </w:rPr>
        <w:t xml:space="preserve">, as shown </w:t>
      </w:r>
      <w:r>
        <w:rPr>
          <w:rFonts w:eastAsia="Times New Roman"/>
          <w:color w:val="000000"/>
          <w:szCs w:val="24"/>
        </w:rPr>
        <w:t xml:space="preserve">in Table </w:t>
      </w:r>
      <w:r w:rsidR="00CF5CC4">
        <w:rPr>
          <w:rFonts w:eastAsia="Times New Roman"/>
          <w:color w:val="000000"/>
          <w:szCs w:val="24"/>
        </w:rPr>
        <w:t>4-2</w:t>
      </w:r>
      <w:r w:rsidRPr="00AF4B68">
        <w:rPr>
          <w:rFonts w:eastAsia="Times New Roman"/>
          <w:color w:val="000000"/>
          <w:szCs w:val="24"/>
        </w:rPr>
        <w:t>.</w:t>
      </w:r>
    </w:p>
    <w:p w:rsidR="00CF46B4" w:rsidRPr="00AF4B68" w:rsidRDefault="00CF46B4" w:rsidP="00CF46B4">
      <w:pPr>
        <w:autoSpaceDE w:val="0"/>
        <w:autoSpaceDN w:val="0"/>
        <w:adjustRightInd w:val="0"/>
        <w:spacing w:after="0" w:line="240" w:lineRule="auto"/>
        <w:jc w:val="both"/>
        <w:rPr>
          <w:szCs w:val="24"/>
        </w:rPr>
      </w:pPr>
      <w:r w:rsidRPr="00AF4B68">
        <w:rPr>
          <w:rFonts w:eastAsia="Times New Roman"/>
          <w:color w:val="000000"/>
          <w:szCs w:val="24"/>
        </w:rPr>
        <w:lastRenderedPageBreak/>
        <w:t>Two main factors directly affectin</w:t>
      </w:r>
      <w:r>
        <w:rPr>
          <w:rFonts w:eastAsia="Times New Roman"/>
          <w:color w:val="000000"/>
          <w:szCs w:val="24"/>
        </w:rPr>
        <w:t>g the quantum of interests</w:t>
      </w:r>
      <w:r w:rsidRPr="00AF4B68">
        <w:rPr>
          <w:rFonts w:eastAsia="Times New Roman"/>
          <w:color w:val="000000"/>
          <w:szCs w:val="24"/>
        </w:rPr>
        <w:t xml:space="preserve"> paid </w:t>
      </w:r>
      <w:r>
        <w:rPr>
          <w:rFonts w:eastAsia="Times New Roman"/>
          <w:color w:val="000000"/>
          <w:szCs w:val="24"/>
        </w:rPr>
        <w:t>were t</w:t>
      </w:r>
      <w:r w:rsidRPr="00AF4B68">
        <w:rPr>
          <w:rFonts w:eastAsia="Times New Roman"/>
          <w:color w:val="000000"/>
          <w:szCs w:val="24"/>
        </w:rPr>
        <w:t xml:space="preserve">he time to </w:t>
      </w:r>
      <w:proofErr w:type="spellStart"/>
      <w:r w:rsidRPr="00AF4B68">
        <w:rPr>
          <w:rFonts w:eastAsia="Times New Roman"/>
          <w:color w:val="000000"/>
          <w:szCs w:val="24"/>
        </w:rPr>
        <w:t>finalise</w:t>
      </w:r>
      <w:proofErr w:type="spellEnd"/>
      <w:r w:rsidRPr="00AF4B68">
        <w:rPr>
          <w:rFonts w:eastAsia="Times New Roman"/>
          <w:color w:val="000000"/>
          <w:szCs w:val="24"/>
        </w:rPr>
        <w:t xml:space="preserve"> a case of acquisition</w:t>
      </w:r>
      <w:r>
        <w:rPr>
          <w:rFonts w:eastAsia="Times New Roman"/>
          <w:color w:val="000000"/>
          <w:szCs w:val="24"/>
        </w:rPr>
        <w:t xml:space="preserve"> and the interest rate of </w:t>
      </w:r>
      <w:r>
        <w:rPr>
          <w:szCs w:val="24"/>
        </w:rPr>
        <w:t>eight</w:t>
      </w:r>
      <w:r w:rsidRPr="00AF4B68">
        <w:rPr>
          <w:szCs w:val="24"/>
        </w:rPr>
        <w:t xml:space="preserve"> per cent per annum</w:t>
      </w:r>
      <w:r>
        <w:rPr>
          <w:szCs w:val="24"/>
        </w:rPr>
        <w:t xml:space="preserve"> being</w:t>
      </w:r>
      <w:r>
        <w:rPr>
          <w:rFonts w:eastAsia="Times New Roman"/>
          <w:color w:val="000000"/>
          <w:szCs w:val="24"/>
        </w:rPr>
        <w:t xml:space="preserve"> applied following </w:t>
      </w:r>
      <w:r w:rsidRPr="00AF4B68">
        <w:rPr>
          <w:szCs w:val="24"/>
        </w:rPr>
        <w:t>Regulation</w:t>
      </w:r>
      <w:r>
        <w:rPr>
          <w:szCs w:val="24"/>
        </w:rPr>
        <w:t>s</w:t>
      </w:r>
      <w:r w:rsidRPr="00AF4B68">
        <w:rPr>
          <w:szCs w:val="24"/>
        </w:rPr>
        <w:t xml:space="preserve"> </w:t>
      </w:r>
      <w:r>
        <w:rPr>
          <w:rFonts w:eastAsia="Times New Roman"/>
          <w:color w:val="000000"/>
          <w:szCs w:val="24"/>
        </w:rPr>
        <w:t>as per</w:t>
      </w:r>
      <w:r w:rsidRPr="00AF4B68">
        <w:rPr>
          <w:color w:val="17365D"/>
          <w:szCs w:val="24"/>
        </w:rPr>
        <w:t xml:space="preserve"> </w:t>
      </w:r>
      <w:r w:rsidRPr="00AF4B68">
        <w:rPr>
          <w:szCs w:val="24"/>
        </w:rPr>
        <w:t>GN 19 of 2004</w:t>
      </w:r>
      <w:r>
        <w:rPr>
          <w:szCs w:val="24"/>
        </w:rPr>
        <w:t>.</w:t>
      </w:r>
    </w:p>
    <w:p w:rsidR="00CF46B4" w:rsidRPr="00AF4B68" w:rsidRDefault="00CF46B4" w:rsidP="00CF46B4">
      <w:pPr>
        <w:autoSpaceDE w:val="0"/>
        <w:autoSpaceDN w:val="0"/>
        <w:adjustRightInd w:val="0"/>
        <w:spacing w:after="0" w:line="240" w:lineRule="auto"/>
        <w:ind w:left="720"/>
        <w:jc w:val="both"/>
        <w:rPr>
          <w:szCs w:val="24"/>
        </w:rPr>
      </w:pPr>
    </w:p>
    <w:p w:rsidR="00CF46B4" w:rsidRPr="00AF4B68" w:rsidRDefault="00CF46B4" w:rsidP="00CF46B4">
      <w:pPr>
        <w:autoSpaceDE w:val="0"/>
        <w:autoSpaceDN w:val="0"/>
        <w:adjustRightInd w:val="0"/>
        <w:spacing w:after="0" w:line="240" w:lineRule="auto"/>
        <w:jc w:val="both"/>
        <w:rPr>
          <w:rFonts w:eastAsia="Times New Roman"/>
          <w:color w:val="000000"/>
          <w:szCs w:val="24"/>
        </w:rPr>
      </w:pPr>
      <w:r>
        <w:rPr>
          <w:rFonts w:eastAsia="Times New Roman"/>
          <w:color w:val="000000"/>
          <w:szCs w:val="24"/>
        </w:rPr>
        <w:t>Interests were</w:t>
      </w:r>
      <w:r w:rsidRPr="00AF4B68">
        <w:rPr>
          <w:rFonts w:eastAsia="Times New Roman"/>
          <w:color w:val="000000"/>
          <w:szCs w:val="24"/>
        </w:rPr>
        <w:t xml:space="preserve"> paid </w:t>
      </w:r>
      <w:r w:rsidR="00CF5CC4">
        <w:rPr>
          <w:rFonts w:eastAsia="Times New Roman"/>
          <w:color w:val="000000"/>
          <w:szCs w:val="24"/>
        </w:rPr>
        <w:t>in the following circumstances;</w:t>
      </w:r>
    </w:p>
    <w:p w:rsidR="00CF46B4" w:rsidRPr="00AF4B68" w:rsidRDefault="00CF46B4" w:rsidP="00CF46B4">
      <w:pPr>
        <w:autoSpaceDE w:val="0"/>
        <w:autoSpaceDN w:val="0"/>
        <w:adjustRightInd w:val="0"/>
        <w:spacing w:after="0" w:line="240" w:lineRule="auto"/>
        <w:jc w:val="both"/>
        <w:rPr>
          <w:szCs w:val="24"/>
          <w:lang w:val="en-GB" w:eastAsia="en-GB"/>
        </w:rPr>
      </w:pPr>
    </w:p>
    <w:p w:rsidR="00CF46B4" w:rsidRPr="00746F5F" w:rsidRDefault="00CF46B4" w:rsidP="00CF46B4">
      <w:pPr>
        <w:numPr>
          <w:ilvl w:val="0"/>
          <w:numId w:val="2"/>
        </w:numPr>
        <w:autoSpaceDE w:val="0"/>
        <w:autoSpaceDN w:val="0"/>
        <w:adjustRightInd w:val="0"/>
        <w:spacing w:after="0" w:line="240" w:lineRule="auto"/>
        <w:jc w:val="both"/>
        <w:rPr>
          <w:rFonts w:eastAsia="Times New Roman"/>
          <w:spacing w:val="-3"/>
          <w:w w:val="90"/>
          <w:szCs w:val="24"/>
        </w:rPr>
      </w:pPr>
      <w:r>
        <w:rPr>
          <w:szCs w:val="24"/>
        </w:rPr>
        <w:t>F</w:t>
      </w:r>
      <w:r w:rsidRPr="00AF4B68">
        <w:rPr>
          <w:szCs w:val="24"/>
        </w:rPr>
        <w:t xml:space="preserve">rom the date </w:t>
      </w:r>
      <w:r>
        <w:rPr>
          <w:szCs w:val="24"/>
        </w:rPr>
        <w:t>of transcription to the date of appointment of</w:t>
      </w:r>
      <w:r w:rsidRPr="00AF4B68">
        <w:rPr>
          <w:szCs w:val="24"/>
        </w:rPr>
        <w:t xml:space="preserve"> the Notary</w:t>
      </w:r>
      <w:r>
        <w:rPr>
          <w:szCs w:val="24"/>
        </w:rPr>
        <w:t>,</w:t>
      </w:r>
      <w:r w:rsidRPr="00AF4B68">
        <w:rPr>
          <w:szCs w:val="24"/>
        </w:rPr>
        <w:t xml:space="preserve"> </w:t>
      </w:r>
      <w:r>
        <w:rPr>
          <w:szCs w:val="24"/>
        </w:rPr>
        <w:t xml:space="preserve">for the </w:t>
      </w:r>
      <w:r w:rsidRPr="00AF4B68">
        <w:rPr>
          <w:szCs w:val="24"/>
        </w:rPr>
        <w:t>draw</w:t>
      </w:r>
      <w:r>
        <w:rPr>
          <w:szCs w:val="24"/>
        </w:rPr>
        <w:t>ing</w:t>
      </w:r>
      <w:r w:rsidRPr="00AF4B68">
        <w:rPr>
          <w:szCs w:val="24"/>
        </w:rPr>
        <w:t xml:space="preserve"> up </w:t>
      </w:r>
      <w:r>
        <w:rPr>
          <w:szCs w:val="24"/>
        </w:rPr>
        <w:t xml:space="preserve">of </w:t>
      </w:r>
      <w:r w:rsidRPr="00AF4B68">
        <w:rPr>
          <w:szCs w:val="24"/>
        </w:rPr>
        <w:t xml:space="preserve">the deed of </w:t>
      </w:r>
      <w:proofErr w:type="spellStart"/>
      <w:r w:rsidRPr="00AF4B68">
        <w:rPr>
          <w:szCs w:val="24"/>
        </w:rPr>
        <w:t>acquittance</w:t>
      </w:r>
      <w:proofErr w:type="spellEnd"/>
      <w:r w:rsidRPr="00AF4B68">
        <w:rPr>
          <w:szCs w:val="24"/>
        </w:rPr>
        <w:t>.</w:t>
      </w:r>
      <w:r w:rsidRPr="00AF4B68">
        <w:rPr>
          <w:rFonts w:eastAsia="Times New Roman"/>
          <w:w w:val="92"/>
          <w:szCs w:val="24"/>
        </w:rPr>
        <w:t xml:space="preserve"> </w:t>
      </w:r>
    </w:p>
    <w:p w:rsidR="00CF46B4" w:rsidRPr="00746F5F" w:rsidRDefault="00CF46B4" w:rsidP="00CF46B4">
      <w:pPr>
        <w:autoSpaceDE w:val="0"/>
        <w:autoSpaceDN w:val="0"/>
        <w:adjustRightInd w:val="0"/>
        <w:spacing w:after="0" w:line="240" w:lineRule="auto"/>
        <w:ind w:left="360"/>
        <w:jc w:val="both"/>
        <w:rPr>
          <w:rFonts w:eastAsia="Times New Roman"/>
          <w:spacing w:val="-3"/>
          <w:w w:val="90"/>
          <w:szCs w:val="24"/>
        </w:rPr>
      </w:pPr>
    </w:p>
    <w:p w:rsidR="00CF46B4" w:rsidRDefault="00CF46B4" w:rsidP="00CF46B4">
      <w:pPr>
        <w:pStyle w:val="ListParagraph"/>
        <w:numPr>
          <w:ilvl w:val="0"/>
          <w:numId w:val="2"/>
        </w:numPr>
        <w:spacing w:after="0" w:line="240" w:lineRule="auto"/>
        <w:jc w:val="both"/>
        <w:rPr>
          <w:szCs w:val="24"/>
        </w:rPr>
      </w:pPr>
      <w:r>
        <w:rPr>
          <w:szCs w:val="24"/>
        </w:rPr>
        <w:t>From the date of vesting until the date of award of the compensation by the Board of Assessment (BOA).</w:t>
      </w:r>
    </w:p>
    <w:p w:rsidR="00CF46B4" w:rsidRPr="00746F5F" w:rsidRDefault="00CF46B4" w:rsidP="00CF46B4">
      <w:pPr>
        <w:pStyle w:val="ListParagraph"/>
        <w:spacing w:after="0" w:line="240" w:lineRule="auto"/>
        <w:ind w:left="360"/>
        <w:jc w:val="both"/>
        <w:rPr>
          <w:szCs w:val="24"/>
        </w:rPr>
      </w:pPr>
    </w:p>
    <w:p w:rsidR="00CF46B4" w:rsidRDefault="00CF46B4" w:rsidP="00CF46B4">
      <w:pPr>
        <w:spacing w:after="0" w:line="240" w:lineRule="auto"/>
        <w:jc w:val="both"/>
        <w:rPr>
          <w:szCs w:val="24"/>
        </w:rPr>
      </w:pPr>
      <w:r>
        <w:rPr>
          <w:szCs w:val="24"/>
        </w:rPr>
        <w:t>The following were</w:t>
      </w:r>
      <w:r w:rsidRPr="00333454">
        <w:rPr>
          <w:szCs w:val="24"/>
        </w:rPr>
        <w:t xml:space="preserve"> observed:</w:t>
      </w:r>
    </w:p>
    <w:p w:rsidR="00CF46B4" w:rsidRPr="00333454" w:rsidRDefault="00CF46B4" w:rsidP="00CF46B4">
      <w:pPr>
        <w:spacing w:after="0" w:line="240" w:lineRule="auto"/>
        <w:jc w:val="both"/>
        <w:rPr>
          <w:szCs w:val="24"/>
        </w:rPr>
      </w:pPr>
    </w:p>
    <w:p w:rsidR="00CF46B4" w:rsidRDefault="00CF46B4" w:rsidP="00CF46B4">
      <w:pPr>
        <w:pStyle w:val="ListParagraph"/>
        <w:numPr>
          <w:ilvl w:val="0"/>
          <w:numId w:val="8"/>
        </w:numPr>
        <w:autoSpaceDE w:val="0"/>
        <w:autoSpaceDN w:val="0"/>
        <w:adjustRightInd w:val="0"/>
        <w:spacing w:after="0" w:line="240" w:lineRule="auto"/>
        <w:ind w:left="360"/>
        <w:jc w:val="both"/>
        <w:rPr>
          <w:szCs w:val="24"/>
        </w:rPr>
      </w:pPr>
      <w:r>
        <w:rPr>
          <w:szCs w:val="24"/>
        </w:rPr>
        <w:t>T</w:t>
      </w:r>
      <w:r w:rsidRPr="00AF4B68">
        <w:rPr>
          <w:szCs w:val="24"/>
        </w:rPr>
        <w:t>he rate of interest has remained at eight per</w:t>
      </w:r>
      <w:r>
        <w:rPr>
          <w:szCs w:val="24"/>
        </w:rPr>
        <w:t xml:space="preserve"> </w:t>
      </w:r>
      <w:r w:rsidRPr="00AF4B68">
        <w:rPr>
          <w:szCs w:val="24"/>
        </w:rPr>
        <w:t xml:space="preserve">cent since 2004 though interest rates have been moving downwards locally. The basis </w:t>
      </w:r>
      <w:r>
        <w:rPr>
          <w:szCs w:val="24"/>
        </w:rPr>
        <w:t xml:space="preserve">for </w:t>
      </w:r>
      <w:r w:rsidRPr="00AF4B68">
        <w:rPr>
          <w:szCs w:val="24"/>
        </w:rPr>
        <w:t xml:space="preserve">determining the legal rate </w:t>
      </w:r>
      <w:r>
        <w:rPr>
          <w:szCs w:val="24"/>
        </w:rPr>
        <w:t>wa</w:t>
      </w:r>
      <w:r w:rsidRPr="00AF4B68">
        <w:rPr>
          <w:szCs w:val="24"/>
        </w:rPr>
        <w:t>s not known</w:t>
      </w:r>
      <w:r>
        <w:rPr>
          <w:szCs w:val="24"/>
        </w:rPr>
        <w:t>;</w:t>
      </w:r>
    </w:p>
    <w:p w:rsidR="00CF46B4" w:rsidRPr="00AF4B68" w:rsidRDefault="00CF46B4" w:rsidP="00CF46B4">
      <w:pPr>
        <w:pStyle w:val="ListParagraph"/>
        <w:autoSpaceDE w:val="0"/>
        <w:autoSpaceDN w:val="0"/>
        <w:adjustRightInd w:val="0"/>
        <w:spacing w:after="0" w:line="240" w:lineRule="auto"/>
        <w:ind w:left="360"/>
        <w:jc w:val="both"/>
        <w:rPr>
          <w:szCs w:val="24"/>
        </w:rPr>
      </w:pPr>
    </w:p>
    <w:p w:rsidR="00CF46B4" w:rsidRDefault="00CF46B4" w:rsidP="00CF46B4">
      <w:pPr>
        <w:pStyle w:val="ListParagraph"/>
        <w:numPr>
          <w:ilvl w:val="0"/>
          <w:numId w:val="3"/>
        </w:numPr>
        <w:spacing w:after="0" w:line="240" w:lineRule="auto"/>
        <w:ind w:left="360"/>
        <w:jc w:val="both"/>
        <w:rPr>
          <w:szCs w:val="24"/>
        </w:rPr>
      </w:pPr>
      <w:r w:rsidRPr="00AF4B68">
        <w:rPr>
          <w:color w:val="000000"/>
          <w:szCs w:val="24"/>
        </w:rPr>
        <w:t xml:space="preserve">There is no legal deadline for the Government </w:t>
      </w:r>
      <w:proofErr w:type="spellStart"/>
      <w:r w:rsidRPr="00AF4B68">
        <w:rPr>
          <w:color w:val="000000"/>
          <w:szCs w:val="24"/>
        </w:rPr>
        <w:t>Valuer</w:t>
      </w:r>
      <w:proofErr w:type="spellEnd"/>
      <w:r w:rsidRPr="00AF4B68">
        <w:rPr>
          <w:color w:val="000000"/>
          <w:szCs w:val="24"/>
        </w:rPr>
        <w:t xml:space="preserve"> to advise the Ministry of the value of the property. </w:t>
      </w:r>
      <w:r w:rsidRPr="00AF4B68">
        <w:rPr>
          <w:szCs w:val="24"/>
        </w:rPr>
        <w:t>Time taken by Valuation Department for assessment of compensation</w:t>
      </w:r>
      <w:r w:rsidRPr="00AF4B68">
        <w:rPr>
          <w:color w:val="000000"/>
          <w:szCs w:val="24"/>
        </w:rPr>
        <w:t xml:space="preserve"> varie</w:t>
      </w:r>
      <w:r>
        <w:rPr>
          <w:color w:val="000000"/>
          <w:szCs w:val="24"/>
        </w:rPr>
        <w:t>d</w:t>
      </w:r>
      <w:r w:rsidRPr="00AF4B68">
        <w:rPr>
          <w:color w:val="000000"/>
          <w:szCs w:val="24"/>
        </w:rPr>
        <w:t xml:space="preserve"> between </w:t>
      </w:r>
      <w:r>
        <w:rPr>
          <w:color w:val="000000"/>
          <w:szCs w:val="24"/>
        </w:rPr>
        <w:t>five</w:t>
      </w:r>
      <w:r w:rsidRPr="00AF4B68">
        <w:rPr>
          <w:color w:val="000000"/>
          <w:szCs w:val="24"/>
        </w:rPr>
        <w:t xml:space="preserve"> and 34 months</w:t>
      </w:r>
      <w:r>
        <w:rPr>
          <w:color w:val="000000"/>
          <w:szCs w:val="24"/>
        </w:rPr>
        <w:t>;</w:t>
      </w:r>
      <w:r w:rsidRPr="00AF4B68">
        <w:rPr>
          <w:szCs w:val="24"/>
        </w:rPr>
        <w:t xml:space="preserve"> </w:t>
      </w:r>
    </w:p>
    <w:p w:rsidR="00CF46B4" w:rsidRPr="00AF4B68" w:rsidRDefault="00CF46B4" w:rsidP="00CF46B4">
      <w:pPr>
        <w:pStyle w:val="ListParagraph"/>
        <w:spacing w:after="0" w:line="240" w:lineRule="auto"/>
        <w:ind w:left="360"/>
        <w:jc w:val="both"/>
        <w:rPr>
          <w:szCs w:val="24"/>
        </w:rPr>
      </w:pPr>
    </w:p>
    <w:p w:rsidR="00CF46B4" w:rsidRPr="00AF4B68" w:rsidRDefault="00CF46B4" w:rsidP="00CF46B4">
      <w:pPr>
        <w:numPr>
          <w:ilvl w:val="0"/>
          <w:numId w:val="3"/>
        </w:numPr>
        <w:spacing w:after="0" w:line="240" w:lineRule="auto"/>
        <w:ind w:left="360"/>
        <w:contextualSpacing/>
        <w:jc w:val="both"/>
        <w:rPr>
          <w:szCs w:val="24"/>
        </w:rPr>
      </w:pPr>
      <w:r>
        <w:rPr>
          <w:szCs w:val="24"/>
        </w:rPr>
        <w:t xml:space="preserve">There was a gap of 14 </w:t>
      </w:r>
      <w:r w:rsidRPr="00AF4B68">
        <w:rPr>
          <w:szCs w:val="24"/>
        </w:rPr>
        <w:t xml:space="preserve">to 69 months from </w:t>
      </w:r>
      <w:r>
        <w:rPr>
          <w:szCs w:val="24"/>
        </w:rPr>
        <w:t xml:space="preserve">date of transcription </w:t>
      </w:r>
      <w:r w:rsidRPr="00AF4B68">
        <w:rPr>
          <w:szCs w:val="24"/>
        </w:rPr>
        <w:t xml:space="preserve">to </w:t>
      </w:r>
      <w:r>
        <w:rPr>
          <w:szCs w:val="24"/>
        </w:rPr>
        <w:t xml:space="preserve">the date of the </w:t>
      </w:r>
      <w:r w:rsidRPr="00AF4B68">
        <w:rPr>
          <w:szCs w:val="24"/>
        </w:rPr>
        <w:t>appointment of Notary</w:t>
      </w:r>
      <w:r>
        <w:rPr>
          <w:szCs w:val="24"/>
        </w:rPr>
        <w:t>.</w:t>
      </w:r>
      <w:r w:rsidRPr="00AF4B68">
        <w:rPr>
          <w:szCs w:val="24"/>
        </w:rPr>
        <w:t xml:space="preserve"> </w:t>
      </w:r>
    </w:p>
    <w:p w:rsidR="00CF46B4" w:rsidRDefault="00CF46B4" w:rsidP="00CF46B4">
      <w:pPr>
        <w:spacing w:after="0" w:line="240" w:lineRule="auto"/>
        <w:jc w:val="both"/>
        <w:rPr>
          <w:i/>
          <w:szCs w:val="24"/>
        </w:rPr>
      </w:pPr>
    </w:p>
    <w:p w:rsidR="00CF46B4" w:rsidRPr="00C561D4" w:rsidRDefault="00CF46B4" w:rsidP="00CF46B4">
      <w:pPr>
        <w:spacing w:after="0" w:line="240" w:lineRule="auto"/>
        <w:jc w:val="both"/>
        <w:rPr>
          <w:b/>
          <w:i/>
          <w:szCs w:val="24"/>
        </w:rPr>
      </w:pPr>
      <w:r w:rsidRPr="00C561D4">
        <w:rPr>
          <w:b/>
          <w:i/>
          <w:szCs w:val="24"/>
        </w:rPr>
        <w:t>Recommendations</w:t>
      </w:r>
    </w:p>
    <w:p w:rsidR="00CF46B4" w:rsidRPr="00CA33E1" w:rsidRDefault="00CF46B4" w:rsidP="00CF46B4">
      <w:pPr>
        <w:spacing w:after="0" w:line="240" w:lineRule="auto"/>
        <w:jc w:val="both"/>
        <w:rPr>
          <w:i/>
          <w:szCs w:val="24"/>
        </w:rPr>
      </w:pPr>
    </w:p>
    <w:p w:rsidR="00CF46B4" w:rsidRDefault="00CF46B4" w:rsidP="00CF46B4">
      <w:pPr>
        <w:spacing w:after="0" w:line="240" w:lineRule="auto"/>
        <w:jc w:val="both"/>
        <w:rPr>
          <w:szCs w:val="24"/>
        </w:rPr>
      </w:pPr>
      <w:r w:rsidRPr="00AF4B68">
        <w:rPr>
          <w:szCs w:val="24"/>
        </w:rPr>
        <w:t xml:space="preserve">The interest rate needs be </w:t>
      </w:r>
      <w:r>
        <w:rPr>
          <w:szCs w:val="24"/>
        </w:rPr>
        <w:t xml:space="preserve">reviewed </w:t>
      </w:r>
      <w:r w:rsidRPr="00AF4B68">
        <w:rPr>
          <w:szCs w:val="24"/>
        </w:rPr>
        <w:t>regular</w:t>
      </w:r>
      <w:r w:rsidR="00CF5CC4">
        <w:rPr>
          <w:szCs w:val="24"/>
        </w:rPr>
        <w:t>ly.</w:t>
      </w:r>
    </w:p>
    <w:p w:rsidR="00CF46B4" w:rsidRPr="00AF4B68" w:rsidRDefault="00CF46B4" w:rsidP="00CF46B4">
      <w:pPr>
        <w:spacing w:after="0" w:line="240" w:lineRule="auto"/>
        <w:jc w:val="both"/>
        <w:rPr>
          <w:szCs w:val="24"/>
        </w:rPr>
      </w:pPr>
    </w:p>
    <w:p w:rsidR="00CF46B4" w:rsidRPr="00893EAD" w:rsidRDefault="00CF46B4" w:rsidP="00CF46B4">
      <w:pPr>
        <w:spacing w:after="0" w:line="240" w:lineRule="auto"/>
        <w:jc w:val="both"/>
        <w:rPr>
          <w:i/>
          <w:szCs w:val="24"/>
        </w:rPr>
      </w:pPr>
      <w:r w:rsidRPr="00893EAD">
        <w:rPr>
          <w:szCs w:val="24"/>
        </w:rPr>
        <w:t>The Land Acquisition Act needs to be revisited to accommodate necessary deadlines.</w:t>
      </w:r>
      <w:r w:rsidRPr="00443C84">
        <w:rPr>
          <w:color w:val="000000"/>
          <w:szCs w:val="24"/>
        </w:rPr>
        <w:t xml:space="preserve"> </w:t>
      </w:r>
      <w:r w:rsidRPr="00AF4B68">
        <w:rPr>
          <w:color w:val="000000"/>
          <w:szCs w:val="24"/>
        </w:rPr>
        <w:t xml:space="preserve">As a baseline, the Land (Duties and Taxes) Act sets a limit for the Government </w:t>
      </w:r>
      <w:proofErr w:type="spellStart"/>
      <w:r w:rsidRPr="00AF4B68">
        <w:rPr>
          <w:color w:val="000000"/>
          <w:szCs w:val="24"/>
        </w:rPr>
        <w:t>Valuer</w:t>
      </w:r>
      <w:proofErr w:type="spellEnd"/>
      <w:r w:rsidRPr="00AF4B68">
        <w:rPr>
          <w:color w:val="000000"/>
          <w:szCs w:val="24"/>
        </w:rPr>
        <w:t xml:space="preserve"> of not more than five months from the date of registration of the deed of transfer to advise the Registrar General of the value of the property</w:t>
      </w:r>
      <w:r>
        <w:rPr>
          <w:color w:val="000000"/>
          <w:szCs w:val="24"/>
        </w:rPr>
        <w:t>.</w:t>
      </w:r>
    </w:p>
    <w:p w:rsidR="00CF46B4" w:rsidRDefault="00CF46B4" w:rsidP="00CF46B4">
      <w:pPr>
        <w:spacing w:after="0" w:line="240" w:lineRule="auto"/>
        <w:jc w:val="both"/>
        <w:rPr>
          <w:i/>
          <w:szCs w:val="24"/>
        </w:rPr>
      </w:pPr>
    </w:p>
    <w:p w:rsidR="00CF46B4" w:rsidRPr="00C561D4" w:rsidRDefault="00CF46B4" w:rsidP="00CF46B4">
      <w:pPr>
        <w:spacing w:after="0" w:line="240" w:lineRule="auto"/>
        <w:jc w:val="both"/>
        <w:rPr>
          <w:b/>
          <w:i/>
          <w:szCs w:val="24"/>
        </w:rPr>
      </w:pPr>
      <w:r w:rsidRPr="00C561D4">
        <w:rPr>
          <w:b/>
          <w:i/>
          <w:szCs w:val="24"/>
        </w:rPr>
        <w:t>Ministry’s Reply</w:t>
      </w:r>
    </w:p>
    <w:p w:rsidR="00CF46B4" w:rsidRDefault="00CF46B4" w:rsidP="00CF46B4">
      <w:pPr>
        <w:spacing w:after="0" w:line="240" w:lineRule="auto"/>
        <w:jc w:val="both"/>
        <w:rPr>
          <w:i/>
          <w:szCs w:val="24"/>
        </w:rPr>
      </w:pPr>
    </w:p>
    <w:p w:rsidR="00CF46B4" w:rsidRPr="00746F5F" w:rsidRDefault="00CF46B4" w:rsidP="00CF46B4">
      <w:pPr>
        <w:spacing w:after="0" w:line="240" w:lineRule="auto"/>
        <w:jc w:val="both"/>
        <w:rPr>
          <w:szCs w:val="24"/>
        </w:rPr>
      </w:pPr>
      <w:r w:rsidRPr="00746F5F">
        <w:rPr>
          <w:szCs w:val="24"/>
        </w:rPr>
        <w:t xml:space="preserve">The Ministry of Finance </w:t>
      </w:r>
      <w:r w:rsidR="00FD37F2">
        <w:rPr>
          <w:szCs w:val="24"/>
        </w:rPr>
        <w:t xml:space="preserve">and Economic Development </w:t>
      </w:r>
      <w:r w:rsidRPr="00746F5F">
        <w:rPr>
          <w:szCs w:val="24"/>
        </w:rPr>
        <w:t xml:space="preserve">has in November 2017 regulated that the rate of interest shall be equivalent to the </w:t>
      </w:r>
      <w:r w:rsidR="00CF5CC4">
        <w:rPr>
          <w:szCs w:val="24"/>
        </w:rPr>
        <w:t>Repo rate as determined by the Central B</w:t>
      </w:r>
      <w:r w:rsidRPr="00746F5F">
        <w:rPr>
          <w:szCs w:val="24"/>
        </w:rPr>
        <w:t>ank in GN 227 of 2017;</w:t>
      </w:r>
    </w:p>
    <w:p w:rsidR="00AD08B6" w:rsidRDefault="00AD08B6" w:rsidP="00AD08B6">
      <w:pPr>
        <w:spacing w:after="0" w:line="240" w:lineRule="auto"/>
        <w:jc w:val="both"/>
        <w:rPr>
          <w:szCs w:val="24"/>
        </w:rPr>
      </w:pPr>
    </w:p>
    <w:p w:rsidR="00AD08B6" w:rsidRPr="00AD08B6" w:rsidRDefault="00AD08B6" w:rsidP="00AD08B6">
      <w:pPr>
        <w:spacing w:after="0" w:line="240" w:lineRule="auto"/>
        <w:jc w:val="both"/>
        <w:rPr>
          <w:rFonts w:eastAsiaTheme="minorHAnsi"/>
          <w:szCs w:val="24"/>
        </w:rPr>
      </w:pPr>
      <w:r w:rsidRPr="00AD08B6">
        <w:rPr>
          <w:rFonts w:eastAsiaTheme="minorHAnsi"/>
          <w:szCs w:val="24"/>
        </w:rPr>
        <w:t>There is also an urgent need to amend the Land Acquis</w:t>
      </w:r>
      <w:r w:rsidR="00CF5CC4">
        <w:rPr>
          <w:rFonts w:eastAsiaTheme="minorHAnsi"/>
          <w:szCs w:val="24"/>
        </w:rPr>
        <w:t>ition Act with a view to including</w:t>
      </w:r>
      <w:r w:rsidRPr="00AD08B6">
        <w:rPr>
          <w:rFonts w:eastAsiaTheme="minorHAnsi"/>
          <w:szCs w:val="24"/>
        </w:rPr>
        <w:t xml:space="preserve"> a timeframe for the Valuation Department to submit its evaluation of land to be acquired by this Ministry as the time taken by the Department has an implication on the interest to be paid to the former owner upon finalisation of the acquisition.</w:t>
      </w:r>
    </w:p>
    <w:p w:rsidR="00CF46B4" w:rsidRDefault="00CF46B4" w:rsidP="00AD08B6">
      <w:pPr>
        <w:spacing w:after="0" w:line="240" w:lineRule="auto"/>
        <w:jc w:val="both"/>
        <w:rPr>
          <w:szCs w:val="24"/>
        </w:rPr>
      </w:pPr>
    </w:p>
    <w:p w:rsidR="002F1AAF" w:rsidRDefault="002F1AAF">
      <w:pPr>
        <w:rPr>
          <w:szCs w:val="24"/>
        </w:rPr>
      </w:pPr>
      <w:r>
        <w:rPr>
          <w:szCs w:val="24"/>
        </w:rPr>
        <w:br w:type="page"/>
      </w:r>
    </w:p>
    <w:p w:rsidR="00CF46B4" w:rsidRDefault="008C084B" w:rsidP="00CF46B4">
      <w:pPr>
        <w:spacing w:after="0" w:line="240" w:lineRule="auto"/>
        <w:jc w:val="both"/>
        <w:rPr>
          <w:b/>
          <w:szCs w:val="24"/>
        </w:rPr>
      </w:pPr>
      <w:r>
        <w:rPr>
          <w:b/>
          <w:szCs w:val="24"/>
        </w:rPr>
        <w:lastRenderedPageBreak/>
        <w:t>4.5</w:t>
      </w:r>
      <w:r w:rsidR="00CF46B4">
        <w:rPr>
          <w:b/>
          <w:szCs w:val="24"/>
        </w:rPr>
        <w:tab/>
        <w:t>Management</w:t>
      </w:r>
      <w:r w:rsidR="00CF46B4" w:rsidRPr="00AF4B68">
        <w:rPr>
          <w:b/>
          <w:szCs w:val="24"/>
        </w:rPr>
        <w:t xml:space="preserve"> of State Land</w:t>
      </w:r>
      <w:r w:rsidR="00CF46B4">
        <w:rPr>
          <w:b/>
          <w:szCs w:val="24"/>
        </w:rPr>
        <w:t xml:space="preserve"> Leases</w:t>
      </w:r>
    </w:p>
    <w:p w:rsidR="00CF46B4" w:rsidRPr="00AF4B68" w:rsidRDefault="00CF46B4" w:rsidP="00CF46B4">
      <w:pPr>
        <w:spacing w:after="0" w:line="240" w:lineRule="auto"/>
        <w:jc w:val="both"/>
        <w:rPr>
          <w:b/>
          <w:szCs w:val="24"/>
        </w:rPr>
      </w:pPr>
    </w:p>
    <w:p w:rsidR="00CF46B4" w:rsidRDefault="00CF46B4" w:rsidP="00CF46B4">
      <w:pPr>
        <w:spacing w:after="0" w:line="240" w:lineRule="auto"/>
        <w:jc w:val="both"/>
        <w:rPr>
          <w:szCs w:val="24"/>
        </w:rPr>
      </w:pPr>
      <w:r w:rsidRPr="0098151A">
        <w:rPr>
          <w:szCs w:val="24"/>
        </w:rPr>
        <w:t>As of July 2017, 23,318 plot</w:t>
      </w:r>
      <w:r w:rsidR="00E43BEE">
        <w:rPr>
          <w:szCs w:val="24"/>
        </w:rPr>
        <w:t xml:space="preserve">s of land of a total extent of </w:t>
      </w:r>
      <w:r w:rsidR="00CF5CC4">
        <w:rPr>
          <w:szCs w:val="24"/>
        </w:rPr>
        <w:t>10,930</w:t>
      </w:r>
      <w:r w:rsidRPr="0098151A">
        <w:rPr>
          <w:szCs w:val="24"/>
        </w:rPr>
        <w:t>A were leased or reserved as per records of the Land Information Unit (LIU) of the Ministry. As of July 2017, the database of the Ministry showed the following:</w:t>
      </w:r>
    </w:p>
    <w:p w:rsidR="00CF46B4" w:rsidRDefault="00CF46B4" w:rsidP="00CF46B4">
      <w:pPr>
        <w:spacing w:after="0" w:line="240" w:lineRule="auto"/>
        <w:jc w:val="both"/>
        <w:rPr>
          <w:szCs w:val="24"/>
        </w:rPr>
      </w:pPr>
    </w:p>
    <w:p w:rsidR="00CF46B4" w:rsidRDefault="00CF46B4" w:rsidP="008C084B">
      <w:pPr>
        <w:pStyle w:val="ListParagraph"/>
        <w:numPr>
          <w:ilvl w:val="0"/>
          <w:numId w:val="9"/>
        </w:numPr>
        <w:spacing w:after="0" w:line="240" w:lineRule="auto"/>
        <w:ind w:left="360"/>
        <w:jc w:val="both"/>
        <w:rPr>
          <w:szCs w:val="24"/>
        </w:rPr>
      </w:pPr>
      <w:r>
        <w:rPr>
          <w:szCs w:val="24"/>
        </w:rPr>
        <w:t>Some 45 promoters had exceeded</w:t>
      </w:r>
      <w:r w:rsidR="00E43BEE">
        <w:rPr>
          <w:szCs w:val="24"/>
        </w:rPr>
        <w:t xml:space="preserve"> </w:t>
      </w:r>
      <w:r>
        <w:rPr>
          <w:szCs w:val="24"/>
        </w:rPr>
        <w:t xml:space="preserve">the validity period of 18-month of the </w:t>
      </w:r>
      <w:r w:rsidR="00CF5CC4">
        <w:rPr>
          <w:szCs w:val="24"/>
        </w:rPr>
        <w:t>Letter of Reservation (</w:t>
      </w:r>
      <w:r>
        <w:rPr>
          <w:szCs w:val="24"/>
        </w:rPr>
        <w:t>LOR</w:t>
      </w:r>
      <w:r w:rsidR="00CF5CC4">
        <w:rPr>
          <w:szCs w:val="24"/>
        </w:rPr>
        <w:t>)</w:t>
      </w:r>
      <w:r>
        <w:rPr>
          <w:szCs w:val="24"/>
        </w:rPr>
        <w:t>;</w:t>
      </w:r>
    </w:p>
    <w:p w:rsidR="00CF46B4" w:rsidRDefault="00CF46B4" w:rsidP="008C084B">
      <w:pPr>
        <w:pStyle w:val="ListParagraph"/>
        <w:spacing w:after="0" w:line="240" w:lineRule="auto"/>
        <w:ind w:left="360" w:hanging="360"/>
        <w:jc w:val="both"/>
        <w:rPr>
          <w:szCs w:val="24"/>
        </w:rPr>
      </w:pPr>
    </w:p>
    <w:p w:rsidR="00CF46B4" w:rsidRDefault="00CF46B4" w:rsidP="008C084B">
      <w:pPr>
        <w:pStyle w:val="ListParagraph"/>
        <w:numPr>
          <w:ilvl w:val="0"/>
          <w:numId w:val="15"/>
        </w:numPr>
        <w:spacing w:after="0" w:line="240" w:lineRule="auto"/>
        <w:ind w:left="360"/>
        <w:jc w:val="both"/>
        <w:rPr>
          <w:szCs w:val="24"/>
        </w:rPr>
      </w:pPr>
      <w:r>
        <w:rPr>
          <w:szCs w:val="24"/>
        </w:rPr>
        <w:t xml:space="preserve">Lease agreements had </w:t>
      </w:r>
      <w:r w:rsidRPr="00AF4B68">
        <w:rPr>
          <w:szCs w:val="24"/>
        </w:rPr>
        <w:t xml:space="preserve">not yet been signed for 103 cases though the </w:t>
      </w:r>
      <w:r w:rsidRPr="003D7178">
        <w:rPr>
          <w:szCs w:val="24"/>
        </w:rPr>
        <w:t xml:space="preserve">Letter of Intent </w:t>
      </w:r>
      <w:r w:rsidR="00CF5CC4">
        <w:rPr>
          <w:szCs w:val="24"/>
        </w:rPr>
        <w:t>(LOI) had</w:t>
      </w:r>
      <w:r w:rsidRPr="003D7178">
        <w:rPr>
          <w:szCs w:val="24"/>
        </w:rPr>
        <w:t xml:space="preserve"> been issued between 2003 and 2017</w:t>
      </w:r>
      <w:r>
        <w:rPr>
          <w:szCs w:val="24"/>
        </w:rPr>
        <w:t>. For instance, f</w:t>
      </w:r>
      <w:r w:rsidRPr="00AF4B68">
        <w:rPr>
          <w:szCs w:val="24"/>
        </w:rPr>
        <w:t>our lessees who h</w:t>
      </w:r>
      <w:r>
        <w:rPr>
          <w:szCs w:val="24"/>
        </w:rPr>
        <w:t>ad</w:t>
      </w:r>
      <w:r w:rsidRPr="00AF4B68">
        <w:rPr>
          <w:szCs w:val="24"/>
        </w:rPr>
        <w:t xml:space="preserve"> </w:t>
      </w:r>
      <w:r>
        <w:rPr>
          <w:szCs w:val="24"/>
        </w:rPr>
        <w:t>not signed their deeds of lease and</w:t>
      </w:r>
      <w:r w:rsidRPr="00AF4B68">
        <w:rPr>
          <w:szCs w:val="24"/>
        </w:rPr>
        <w:t xml:space="preserve"> owe</w:t>
      </w:r>
      <w:r>
        <w:rPr>
          <w:szCs w:val="24"/>
        </w:rPr>
        <w:t>d</w:t>
      </w:r>
      <w:r w:rsidRPr="00AF4B68">
        <w:rPr>
          <w:szCs w:val="24"/>
        </w:rPr>
        <w:t xml:space="preserve"> </w:t>
      </w:r>
      <w:r>
        <w:rPr>
          <w:szCs w:val="24"/>
        </w:rPr>
        <w:t>some Rs 6.8 million to</w:t>
      </w:r>
      <w:r w:rsidRPr="00AF4B68">
        <w:rPr>
          <w:szCs w:val="24"/>
        </w:rPr>
        <w:t xml:space="preserve"> Government as at </w:t>
      </w:r>
      <w:r w:rsidR="003E48BC">
        <w:rPr>
          <w:szCs w:val="24"/>
        </w:rPr>
        <w:br/>
      </w:r>
      <w:r w:rsidRPr="00AF4B68">
        <w:rPr>
          <w:szCs w:val="24"/>
        </w:rPr>
        <w:t>30 June 2017</w:t>
      </w:r>
      <w:r>
        <w:rPr>
          <w:szCs w:val="24"/>
        </w:rPr>
        <w:t>;</w:t>
      </w:r>
    </w:p>
    <w:p w:rsidR="00CF46B4" w:rsidRDefault="00CF46B4" w:rsidP="008C084B">
      <w:pPr>
        <w:pStyle w:val="ListParagraph"/>
        <w:spacing w:after="0" w:line="240" w:lineRule="auto"/>
        <w:ind w:left="360" w:hanging="360"/>
        <w:jc w:val="both"/>
        <w:rPr>
          <w:szCs w:val="24"/>
        </w:rPr>
      </w:pPr>
    </w:p>
    <w:p w:rsidR="00CF46B4" w:rsidRDefault="00CF46B4" w:rsidP="008C084B">
      <w:pPr>
        <w:pStyle w:val="ListParagraph"/>
        <w:numPr>
          <w:ilvl w:val="0"/>
          <w:numId w:val="9"/>
        </w:numPr>
        <w:spacing w:after="0" w:line="240" w:lineRule="auto"/>
        <w:ind w:left="360"/>
        <w:jc w:val="both"/>
        <w:rPr>
          <w:szCs w:val="24"/>
        </w:rPr>
      </w:pPr>
      <w:r>
        <w:rPr>
          <w:szCs w:val="24"/>
        </w:rPr>
        <w:t>I</w:t>
      </w:r>
      <w:r w:rsidRPr="00AF4B68">
        <w:rPr>
          <w:szCs w:val="24"/>
        </w:rPr>
        <w:t>nformation as to the dat</w:t>
      </w:r>
      <w:r>
        <w:rPr>
          <w:szCs w:val="24"/>
        </w:rPr>
        <w:t>e of possession or occupation was</w:t>
      </w:r>
      <w:r w:rsidRPr="00AF4B68">
        <w:rPr>
          <w:szCs w:val="24"/>
        </w:rPr>
        <w:t xml:space="preserve"> not readily available</w:t>
      </w:r>
      <w:r>
        <w:rPr>
          <w:szCs w:val="24"/>
        </w:rPr>
        <w:t>;</w:t>
      </w:r>
    </w:p>
    <w:p w:rsidR="00CF46B4" w:rsidRPr="00A96331" w:rsidRDefault="00CF46B4" w:rsidP="008C084B">
      <w:pPr>
        <w:pStyle w:val="ListParagraph"/>
        <w:spacing w:after="0" w:line="240" w:lineRule="auto"/>
        <w:ind w:left="360" w:hanging="360"/>
        <w:jc w:val="both"/>
        <w:rPr>
          <w:szCs w:val="24"/>
        </w:rPr>
      </w:pPr>
    </w:p>
    <w:p w:rsidR="00CF46B4" w:rsidRPr="00746F5F" w:rsidRDefault="00CF46B4" w:rsidP="008C084B">
      <w:pPr>
        <w:pStyle w:val="ListParagraph"/>
        <w:numPr>
          <w:ilvl w:val="0"/>
          <w:numId w:val="9"/>
        </w:numPr>
        <w:spacing w:after="0" w:line="240" w:lineRule="auto"/>
        <w:ind w:left="360"/>
        <w:jc w:val="both"/>
        <w:rPr>
          <w:sz w:val="28"/>
          <w:szCs w:val="24"/>
        </w:rPr>
      </w:pPr>
      <w:r>
        <w:rPr>
          <w:szCs w:val="24"/>
        </w:rPr>
        <w:t>T</w:t>
      </w:r>
      <w:r w:rsidRPr="00507F1C">
        <w:rPr>
          <w:szCs w:val="24"/>
        </w:rPr>
        <w:t xml:space="preserve">here were 3,548 leases </w:t>
      </w:r>
      <w:r w:rsidR="00AD08B6">
        <w:rPr>
          <w:szCs w:val="24"/>
        </w:rPr>
        <w:t>which</w:t>
      </w:r>
      <w:r>
        <w:rPr>
          <w:szCs w:val="24"/>
        </w:rPr>
        <w:t xml:space="preserve"> </w:t>
      </w:r>
      <w:r w:rsidRPr="00507F1C">
        <w:rPr>
          <w:szCs w:val="24"/>
        </w:rPr>
        <w:t xml:space="preserve">expired </w:t>
      </w:r>
      <w:r>
        <w:rPr>
          <w:szCs w:val="24"/>
        </w:rPr>
        <w:t xml:space="preserve">between 1950 and </w:t>
      </w:r>
      <w:r w:rsidRPr="00507F1C">
        <w:rPr>
          <w:szCs w:val="24"/>
        </w:rPr>
        <w:t>2016</w:t>
      </w:r>
      <w:r>
        <w:rPr>
          <w:szCs w:val="24"/>
        </w:rPr>
        <w:t>.</w:t>
      </w:r>
    </w:p>
    <w:p w:rsidR="00CF46B4" w:rsidRPr="00507F1C" w:rsidRDefault="00CF46B4" w:rsidP="00CF46B4">
      <w:pPr>
        <w:pStyle w:val="ListParagraph"/>
        <w:spacing w:after="0" w:line="240" w:lineRule="auto"/>
        <w:ind w:left="270"/>
        <w:jc w:val="both"/>
        <w:rPr>
          <w:sz w:val="28"/>
          <w:szCs w:val="24"/>
        </w:rPr>
      </w:pPr>
    </w:p>
    <w:p w:rsidR="00CF46B4" w:rsidRDefault="00CF46B4" w:rsidP="00CF46B4">
      <w:pPr>
        <w:spacing w:after="0" w:line="240" w:lineRule="auto"/>
        <w:jc w:val="both"/>
        <w:rPr>
          <w:szCs w:val="24"/>
        </w:rPr>
      </w:pPr>
      <w:r w:rsidRPr="008935DF">
        <w:rPr>
          <w:b/>
          <w:i/>
          <w:szCs w:val="24"/>
        </w:rPr>
        <w:t>Recommendations</w:t>
      </w:r>
      <w:r w:rsidRPr="00443C84">
        <w:rPr>
          <w:szCs w:val="24"/>
        </w:rPr>
        <w:t xml:space="preserve"> </w:t>
      </w:r>
    </w:p>
    <w:p w:rsidR="00CF46B4" w:rsidRDefault="00CF46B4" w:rsidP="00CF46B4">
      <w:pPr>
        <w:spacing w:after="0" w:line="240" w:lineRule="auto"/>
        <w:jc w:val="both"/>
        <w:rPr>
          <w:szCs w:val="24"/>
        </w:rPr>
      </w:pPr>
    </w:p>
    <w:p w:rsidR="00CF46B4" w:rsidRDefault="00CF46B4" w:rsidP="00CF46B4">
      <w:pPr>
        <w:spacing w:after="0" w:line="240" w:lineRule="auto"/>
        <w:jc w:val="both"/>
        <w:rPr>
          <w:szCs w:val="24"/>
        </w:rPr>
      </w:pPr>
      <w:r w:rsidRPr="00AF4B68">
        <w:rPr>
          <w:szCs w:val="24"/>
        </w:rPr>
        <w:t>The Ministry should</w:t>
      </w:r>
    </w:p>
    <w:p w:rsidR="00CF46B4" w:rsidRPr="008935DF" w:rsidRDefault="00CF46B4" w:rsidP="00CF46B4">
      <w:pPr>
        <w:spacing w:after="0" w:line="240" w:lineRule="auto"/>
        <w:jc w:val="both"/>
        <w:rPr>
          <w:b/>
          <w:i/>
          <w:szCs w:val="24"/>
        </w:rPr>
      </w:pPr>
    </w:p>
    <w:p w:rsidR="00CF46B4" w:rsidRPr="00746F5F" w:rsidRDefault="00CF46B4" w:rsidP="00CF46B4">
      <w:pPr>
        <w:pStyle w:val="ListParagraph"/>
        <w:numPr>
          <w:ilvl w:val="0"/>
          <w:numId w:val="6"/>
        </w:numPr>
        <w:spacing w:after="0" w:line="240" w:lineRule="auto"/>
        <w:ind w:left="360"/>
        <w:jc w:val="both"/>
        <w:rPr>
          <w:b/>
          <w:szCs w:val="24"/>
        </w:rPr>
      </w:pPr>
      <w:r>
        <w:rPr>
          <w:szCs w:val="24"/>
        </w:rPr>
        <w:t>Maintain an updated database;</w:t>
      </w:r>
    </w:p>
    <w:p w:rsidR="00CF46B4" w:rsidRPr="00A1762D" w:rsidRDefault="00CF46B4" w:rsidP="00CF46B4">
      <w:pPr>
        <w:pStyle w:val="ListParagraph"/>
        <w:spacing w:after="0" w:line="240" w:lineRule="auto"/>
        <w:ind w:left="360"/>
        <w:jc w:val="both"/>
        <w:rPr>
          <w:b/>
          <w:szCs w:val="24"/>
        </w:rPr>
      </w:pPr>
    </w:p>
    <w:p w:rsidR="00CF46B4" w:rsidRPr="00746F5F" w:rsidRDefault="00CF46B4" w:rsidP="00CF46B4">
      <w:pPr>
        <w:pStyle w:val="ListParagraph"/>
        <w:numPr>
          <w:ilvl w:val="0"/>
          <w:numId w:val="6"/>
        </w:numPr>
        <w:spacing w:after="0" w:line="240" w:lineRule="auto"/>
        <w:ind w:left="360"/>
        <w:jc w:val="both"/>
        <w:rPr>
          <w:b/>
          <w:szCs w:val="24"/>
        </w:rPr>
      </w:pPr>
      <w:r>
        <w:rPr>
          <w:szCs w:val="24"/>
        </w:rPr>
        <w:t>T</w:t>
      </w:r>
      <w:r w:rsidRPr="00AF4B68">
        <w:rPr>
          <w:szCs w:val="24"/>
        </w:rPr>
        <w:t xml:space="preserve">ake necessary actions in respect of those cases where </w:t>
      </w:r>
      <w:r>
        <w:rPr>
          <w:szCs w:val="24"/>
        </w:rPr>
        <w:t>LOR is still pending since long;</w:t>
      </w:r>
    </w:p>
    <w:p w:rsidR="00CF46B4" w:rsidRPr="00A96331" w:rsidRDefault="00CF46B4" w:rsidP="00CF46B4">
      <w:pPr>
        <w:pStyle w:val="ListParagraph"/>
        <w:spacing w:after="0" w:line="240" w:lineRule="auto"/>
        <w:ind w:left="360"/>
        <w:jc w:val="both"/>
        <w:rPr>
          <w:b/>
          <w:szCs w:val="24"/>
        </w:rPr>
      </w:pPr>
    </w:p>
    <w:p w:rsidR="00CF46B4" w:rsidRPr="00746F5F" w:rsidRDefault="00CF46B4" w:rsidP="00CF46B4">
      <w:pPr>
        <w:pStyle w:val="ListParagraph"/>
        <w:numPr>
          <w:ilvl w:val="0"/>
          <w:numId w:val="6"/>
        </w:numPr>
        <w:spacing w:after="0" w:line="240" w:lineRule="auto"/>
        <w:ind w:left="360"/>
        <w:jc w:val="both"/>
        <w:rPr>
          <w:szCs w:val="24"/>
          <w:lang w:val="en-GB"/>
        </w:rPr>
      </w:pPr>
      <w:r w:rsidRPr="00721E84">
        <w:rPr>
          <w:szCs w:val="24"/>
        </w:rPr>
        <w:t>Take necessary action to ensure that all lease agree</w:t>
      </w:r>
      <w:r w:rsidR="00CF5CC4">
        <w:rPr>
          <w:szCs w:val="24"/>
        </w:rPr>
        <w:t>ments are being promptly signed;</w:t>
      </w:r>
      <w:r w:rsidRPr="00721E84">
        <w:rPr>
          <w:szCs w:val="24"/>
        </w:rPr>
        <w:t xml:space="preserve"> </w:t>
      </w:r>
    </w:p>
    <w:p w:rsidR="00CF46B4" w:rsidRPr="00721E84" w:rsidRDefault="00CF46B4" w:rsidP="00CF46B4">
      <w:pPr>
        <w:pStyle w:val="ListParagraph"/>
        <w:spacing w:after="0" w:line="240" w:lineRule="auto"/>
        <w:ind w:left="360"/>
        <w:jc w:val="both"/>
        <w:rPr>
          <w:szCs w:val="24"/>
          <w:lang w:val="en-GB"/>
        </w:rPr>
      </w:pPr>
    </w:p>
    <w:p w:rsidR="00CF46B4" w:rsidRPr="00746F5F" w:rsidRDefault="00CF46B4" w:rsidP="00CF46B4">
      <w:pPr>
        <w:pStyle w:val="ListParagraph"/>
        <w:numPr>
          <w:ilvl w:val="0"/>
          <w:numId w:val="6"/>
        </w:numPr>
        <w:spacing w:after="0" w:line="240" w:lineRule="auto"/>
        <w:ind w:left="360"/>
        <w:jc w:val="both"/>
        <w:rPr>
          <w:szCs w:val="24"/>
        </w:rPr>
      </w:pPr>
      <w:r>
        <w:rPr>
          <w:szCs w:val="24"/>
          <w:lang w:val="en-GB"/>
        </w:rPr>
        <w:t>C</w:t>
      </w:r>
      <w:r w:rsidRPr="00AF4B68">
        <w:rPr>
          <w:szCs w:val="24"/>
          <w:lang w:val="en-GB"/>
        </w:rPr>
        <w:t>arry out site visits to ensure that conditions of lease are being complied with</w:t>
      </w:r>
      <w:r>
        <w:rPr>
          <w:szCs w:val="24"/>
          <w:lang w:val="en-GB"/>
        </w:rPr>
        <w:t>;</w:t>
      </w:r>
      <w:r w:rsidRPr="00AF4B68">
        <w:rPr>
          <w:szCs w:val="24"/>
          <w:lang w:val="en-GB"/>
        </w:rPr>
        <w:t xml:space="preserve"> </w:t>
      </w:r>
    </w:p>
    <w:p w:rsidR="00CF46B4" w:rsidRPr="00507F1C" w:rsidRDefault="00CF46B4" w:rsidP="00CF46B4">
      <w:pPr>
        <w:pStyle w:val="ListParagraph"/>
        <w:spacing w:after="0" w:line="240" w:lineRule="auto"/>
        <w:ind w:left="360"/>
        <w:jc w:val="both"/>
        <w:rPr>
          <w:szCs w:val="24"/>
        </w:rPr>
      </w:pPr>
    </w:p>
    <w:p w:rsidR="00CF46B4" w:rsidRPr="00746F5F" w:rsidRDefault="00CF46B4" w:rsidP="00CF46B4">
      <w:pPr>
        <w:pStyle w:val="ListParagraph"/>
        <w:numPr>
          <w:ilvl w:val="0"/>
          <w:numId w:val="6"/>
        </w:numPr>
        <w:spacing w:after="0" w:line="240" w:lineRule="auto"/>
        <w:ind w:left="360"/>
        <w:jc w:val="both"/>
        <w:rPr>
          <w:szCs w:val="24"/>
        </w:rPr>
      </w:pPr>
      <w:r>
        <w:rPr>
          <w:szCs w:val="24"/>
          <w:lang w:val="en-GB"/>
        </w:rPr>
        <w:t>Take necessary action regarding expired and cancelled leases.</w:t>
      </w:r>
    </w:p>
    <w:p w:rsidR="00CF46B4" w:rsidRPr="00A96331" w:rsidRDefault="00CF46B4" w:rsidP="00CF46B4">
      <w:pPr>
        <w:pStyle w:val="ListParagraph"/>
        <w:spacing w:after="0" w:line="240" w:lineRule="auto"/>
        <w:ind w:left="360"/>
        <w:jc w:val="both"/>
        <w:rPr>
          <w:szCs w:val="24"/>
        </w:rPr>
      </w:pPr>
    </w:p>
    <w:p w:rsidR="00CF46B4" w:rsidRPr="000E5D8A" w:rsidRDefault="00CF46B4" w:rsidP="00CF46B4">
      <w:pPr>
        <w:spacing w:after="0" w:line="240" w:lineRule="auto"/>
        <w:jc w:val="both"/>
        <w:rPr>
          <w:b/>
          <w:i/>
          <w:szCs w:val="24"/>
        </w:rPr>
      </w:pPr>
      <w:r w:rsidRPr="000E5D8A">
        <w:rPr>
          <w:b/>
          <w:i/>
          <w:szCs w:val="24"/>
        </w:rPr>
        <w:t>Ministry’s Reply</w:t>
      </w:r>
    </w:p>
    <w:p w:rsidR="00CF46B4" w:rsidRPr="00C948B0" w:rsidRDefault="00CF46B4" w:rsidP="00CF46B4">
      <w:pPr>
        <w:spacing w:after="0" w:line="240" w:lineRule="auto"/>
        <w:jc w:val="both"/>
        <w:rPr>
          <w:i/>
          <w:szCs w:val="24"/>
        </w:rPr>
      </w:pPr>
    </w:p>
    <w:p w:rsidR="00CF46B4" w:rsidRDefault="00CF46B4" w:rsidP="00CF46B4">
      <w:pPr>
        <w:spacing w:after="0" w:line="240" w:lineRule="auto"/>
        <w:jc w:val="both"/>
        <w:rPr>
          <w:b/>
          <w:szCs w:val="24"/>
        </w:rPr>
      </w:pPr>
      <w:r w:rsidRPr="00746F5F">
        <w:rPr>
          <w:szCs w:val="24"/>
        </w:rPr>
        <w:t>The Ministry is consulting the State Law Office for cases for which LOR has long been issued.</w:t>
      </w:r>
      <w:r w:rsidRPr="00746F5F">
        <w:rPr>
          <w:b/>
          <w:szCs w:val="24"/>
        </w:rPr>
        <w:t xml:space="preserve"> </w:t>
      </w:r>
    </w:p>
    <w:p w:rsidR="00AD08B6" w:rsidRPr="00AD08B6" w:rsidRDefault="00AD08B6" w:rsidP="00AD08B6">
      <w:pPr>
        <w:widowControl w:val="0"/>
        <w:shd w:val="clear" w:color="auto" w:fill="FFFFFF"/>
        <w:autoSpaceDE w:val="0"/>
        <w:autoSpaceDN w:val="0"/>
        <w:adjustRightInd w:val="0"/>
        <w:spacing w:after="0" w:line="240" w:lineRule="auto"/>
        <w:ind w:right="71"/>
        <w:jc w:val="both"/>
        <w:rPr>
          <w:rFonts w:eastAsiaTheme="minorEastAsia"/>
          <w:b/>
          <w:color w:val="010001"/>
          <w:szCs w:val="24"/>
          <w:lang w:eastAsia="en-GB" w:bidi="he-IL"/>
        </w:rPr>
      </w:pPr>
    </w:p>
    <w:p w:rsidR="00AD08B6" w:rsidRPr="00AD08B6" w:rsidRDefault="00AD08B6" w:rsidP="00CF5CC4">
      <w:pPr>
        <w:spacing w:after="0" w:line="240" w:lineRule="auto"/>
        <w:contextualSpacing/>
        <w:jc w:val="both"/>
        <w:rPr>
          <w:szCs w:val="24"/>
        </w:rPr>
      </w:pPr>
      <w:r w:rsidRPr="00AD08B6">
        <w:rPr>
          <w:color w:val="010001"/>
          <w:szCs w:val="24"/>
          <w:lang w:bidi="he-IL"/>
        </w:rPr>
        <w:t xml:space="preserve">With the setting up of the State Land Register, this issue would be addressed on the basis that proper and structured data would be fed in the new system under the supervision of </w:t>
      </w:r>
      <w:r w:rsidR="00CF5CC4">
        <w:rPr>
          <w:color w:val="010001"/>
          <w:szCs w:val="24"/>
          <w:lang w:bidi="he-IL"/>
        </w:rPr>
        <w:t>an IT E</w:t>
      </w:r>
      <w:r w:rsidRPr="00AD08B6">
        <w:rPr>
          <w:color w:val="010001"/>
          <w:szCs w:val="24"/>
          <w:lang w:bidi="he-IL"/>
        </w:rPr>
        <w:t>xpert</w:t>
      </w:r>
      <w:r w:rsidR="00CF5CC4">
        <w:rPr>
          <w:color w:val="010001"/>
          <w:szCs w:val="24"/>
          <w:lang w:bidi="he-IL"/>
        </w:rPr>
        <w:t>.</w:t>
      </w:r>
    </w:p>
    <w:p w:rsidR="00AD08B6" w:rsidRPr="00AD08B6" w:rsidRDefault="00AD08B6" w:rsidP="00AD08B6">
      <w:pPr>
        <w:spacing w:after="0" w:line="240" w:lineRule="auto"/>
        <w:ind w:left="360"/>
        <w:contextualSpacing/>
        <w:jc w:val="both"/>
        <w:rPr>
          <w:szCs w:val="24"/>
        </w:rPr>
      </w:pPr>
    </w:p>
    <w:p w:rsidR="00AD08B6" w:rsidRPr="00AD08B6" w:rsidRDefault="00AD08B6" w:rsidP="00CF5CC4">
      <w:pPr>
        <w:widowControl w:val="0"/>
        <w:shd w:val="clear" w:color="auto" w:fill="FFFFFF"/>
        <w:autoSpaceDE w:val="0"/>
        <w:autoSpaceDN w:val="0"/>
        <w:adjustRightInd w:val="0"/>
        <w:spacing w:after="0" w:line="240" w:lineRule="auto"/>
        <w:ind w:right="75"/>
        <w:jc w:val="both"/>
        <w:rPr>
          <w:rFonts w:eastAsiaTheme="minorEastAsia"/>
          <w:color w:val="010001"/>
          <w:szCs w:val="24"/>
          <w:lang w:eastAsia="en-GB" w:bidi="he-IL"/>
        </w:rPr>
      </w:pPr>
      <w:r w:rsidRPr="00AD08B6">
        <w:rPr>
          <w:rFonts w:eastAsiaTheme="minorEastAsia"/>
          <w:color w:val="010001"/>
          <w:szCs w:val="24"/>
          <w:lang w:eastAsia="en-GB" w:bidi="he-IL"/>
        </w:rPr>
        <w:t>With regard to the expired leases, these concern mainly building site leases for residential purposes.  These leases have not been signed for various reasons</w:t>
      </w:r>
      <w:r w:rsidR="00CF5CC4">
        <w:rPr>
          <w:rFonts w:eastAsiaTheme="minorEastAsia"/>
          <w:color w:val="010001"/>
          <w:szCs w:val="24"/>
          <w:lang w:eastAsia="en-GB" w:bidi="he-IL"/>
        </w:rPr>
        <w:t>,</w:t>
      </w:r>
      <w:r w:rsidRPr="00AD08B6">
        <w:rPr>
          <w:rFonts w:eastAsiaTheme="minorEastAsia"/>
          <w:color w:val="010001"/>
          <w:szCs w:val="24"/>
          <w:lang w:eastAsia="en-GB" w:bidi="he-IL"/>
        </w:rPr>
        <w:t xml:space="preserve"> such as lessees have passed away, heirs have not submitted relevant documents to </w:t>
      </w:r>
      <w:proofErr w:type="spellStart"/>
      <w:r w:rsidRPr="00AD08B6">
        <w:rPr>
          <w:rFonts w:eastAsiaTheme="minorEastAsia"/>
          <w:color w:val="010001"/>
          <w:szCs w:val="24"/>
          <w:lang w:eastAsia="en-GB" w:bidi="he-IL"/>
        </w:rPr>
        <w:t>finalise</w:t>
      </w:r>
      <w:proofErr w:type="spellEnd"/>
      <w:r w:rsidRPr="00AD08B6">
        <w:rPr>
          <w:rFonts w:eastAsiaTheme="minorEastAsia"/>
          <w:color w:val="010001"/>
          <w:szCs w:val="24"/>
          <w:lang w:eastAsia="en-GB" w:bidi="he-IL"/>
        </w:rPr>
        <w:t xml:space="preserve"> the lease.  However, up to the time of finalization of the lease, the occupiers are required to pay indemnity fees, equivalent to the rental amount, for use and occupation on a yearly basis.</w:t>
      </w:r>
    </w:p>
    <w:p w:rsidR="002F1AAF" w:rsidRDefault="002F1AAF">
      <w:pPr>
        <w:rPr>
          <w:b/>
          <w:szCs w:val="24"/>
        </w:rPr>
      </w:pPr>
      <w:r>
        <w:rPr>
          <w:b/>
          <w:szCs w:val="24"/>
        </w:rPr>
        <w:br w:type="page"/>
      </w:r>
    </w:p>
    <w:p w:rsidR="00CF46B4" w:rsidRDefault="008C084B" w:rsidP="00CF46B4">
      <w:pPr>
        <w:spacing w:after="0" w:line="240" w:lineRule="auto"/>
        <w:jc w:val="both"/>
        <w:rPr>
          <w:b/>
          <w:szCs w:val="24"/>
        </w:rPr>
      </w:pPr>
      <w:r>
        <w:rPr>
          <w:b/>
          <w:szCs w:val="24"/>
        </w:rPr>
        <w:lastRenderedPageBreak/>
        <w:t>4.6</w:t>
      </w:r>
      <w:r w:rsidR="00CF46B4">
        <w:rPr>
          <w:b/>
          <w:szCs w:val="24"/>
        </w:rPr>
        <w:tab/>
        <w:t>Disbursement of F</w:t>
      </w:r>
      <w:r w:rsidR="00CF46B4" w:rsidRPr="00AF4B68">
        <w:rPr>
          <w:b/>
          <w:szCs w:val="24"/>
        </w:rPr>
        <w:t>unds to National Housing Development Company Ltd</w:t>
      </w:r>
    </w:p>
    <w:p w:rsidR="00CF46B4" w:rsidRPr="00AF4B68" w:rsidRDefault="00CF46B4" w:rsidP="00CF46B4">
      <w:pPr>
        <w:spacing w:after="0" w:line="240" w:lineRule="auto"/>
        <w:jc w:val="both"/>
        <w:rPr>
          <w:b/>
          <w:szCs w:val="24"/>
        </w:rPr>
      </w:pPr>
    </w:p>
    <w:p w:rsidR="00CF46B4" w:rsidRDefault="00CF46B4" w:rsidP="00CF46B4">
      <w:pPr>
        <w:autoSpaceDE w:val="0"/>
        <w:autoSpaceDN w:val="0"/>
        <w:adjustRightInd w:val="0"/>
        <w:spacing w:after="0" w:line="240" w:lineRule="auto"/>
        <w:jc w:val="both"/>
        <w:rPr>
          <w:szCs w:val="24"/>
        </w:rPr>
      </w:pPr>
      <w:r w:rsidRPr="00AF4B68">
        <w:rPr>
          <w:rFonts w:eastAsia="Times New Roman"/>
          <w:szCs w:val="24"/>
        </w:rPr>
        <w:t>The National Housing Development Company (NHDC) is the executive arm of the Ministry for th</w:t>
      </w:r>
      <w:r>
        <w:rPr>
          <w:rFonts w:eastAsia="Times New Roman"/>
          <w:szCs w:val="24"/>
        </w:rPr>
        <w:t>e implementation of Government Social Housing P</w:t>
      </w:r>
      <w:r w:rsidRPr="00AF4B68">
        <w:rPr>
          <w:rFonts w:eastAsia="Times New Roman"/>
          <w:szCs w:val="24"/>
        </w:rPr>
        <w:t xml:space="preserve">rograms. The Ministry signed a Service Agreement in December 2009 with the NHDC for the provision of agreed services by the latter against payment of applicable fees. </w:t>
      </w:r>
      <w:r w:rsidRPr="00AF4B68">
        <w:rPr>
          <w:szCs w:val="24"/>
        </w:rPr>
        <w:t>During 2016-17, the Ministry ha</w:t>
      </w:r>
      <w:r>
        <w:rPr>
          <w:szCs w:val="24"/>
        </w:rPr>
        <w:t>d</w:t>
      </w:r>
      <w:r w:rsidRPr="00AF4B68">
        <w:rPr>
          <w:szCs w:val="24"/>
        </w:rPr>
        <w:t xml:space="preserve"> disbursed funds </w:t>
      </w:r>
      <w:proofErr w:type="spellStart"/>
      <w:r w:rsidRPr="00AF4B68">
        <w:rPr>
          <w:szCs w:val="24"/>
        </w:rPr>
        <w:t>totalling</w:t>
      </w:r>
      <w:proofErr w:type="spellEnd"/>
      <w:r w:rsidRPr="00AF4B68">
        <w:rPr>
          <w:szCs w:val="24"/>
        </w:rPr>
        <w:t xml:space="preserve"> Rs 1,169.3 million to the </w:t>
      </w:r>
      <w:r w:rsidRPr="00AF4B68">
        <w:rPr>
          <w:rFonts w:eastAsia="Times New Roman"/>
          <w:szCs w:val="24"/>
        </w:rPr>
        <w:t>NHDC</w:t>
      </w:r>
      <w:r>
        <w:rPr>
          <w:rFonts w:eastAsia="Times New Roman"/>
          <w:szCs w:val="24"/>
        </w:rPr>
        <w:t>,</w:t>
      </w:r>
      <w:r w:rsidRPr="00AF4B68">
        <w:rPr>
          <w:szCs w:val="24"/>
        </w:rPr>
        <w:t xml:space="preserve"> as shown in Table</w:t>
      </w:r>
      <w:r>
        <w:rPr>
          <w:szCs w:val="24"/>
        </w:rPr>
        <w:t xml:space="preserve"> </w:t>
      </w:r>
      <w:r w:rsidR="008C084B">
        <w:rPr>
          <w:szCs w:val="24"/>
        </w:rPr>
        <w:t>4-</w:t>
      </w:r>
      <w:r>
        <w:rPr>
          <w:szCs w:val="24"/>
        </w:rPr>
        <w:t>4</w:t>
      </w:r>
      <w:r w:rsidR="00E43BEE">
        <w:rPr>
          <w:szCs w:val="24"/>
        </w:rPr>
        <w:t>.</w:t>
      </w:r>
    </w:p>
    <w:p w:rsidR="00E43BEE" w:rsidRDefault="00E43BEE" w:rsidP="00CF46B4">
      <w:pPr>
        <w:autoSpaceDE w:val="0"/>
        <w:autoSpaceDN w:val="0"/>
        <w:adjustRightInd w:val="0"/>
        <w:spacing w:after="0" w:line="240" w:lineRule="auto"/>
        <w:jc w:val="both"/>
        <w:rPr>
          <w:szCs w:val="24"/>
        </w:rPr>
      </w:pPr>
    </w:p>
    <w:p w:rsidR="00CF46B4" w:rsidRDefault="00CF46B4" w:rsidP="00CF46B4">
      <w:pPr>
        <w:autoSpaceDE w:val="0"/>
        <w:autoSpaceDN w:val="0"/>
        <w:adjustRightInd w:val="0"/>
        <w:spacing w:after="0" w:line="240" w:lineRule="auto"/>
        <w:jc w:val="center"/>
        <w:rPr>
          <w:i/>
          <w:szCs w:val="24"/>
        </w:rPr>
      </w:pPr>
      <w:r w:rsidRPr="008935DF">
        <w:rPr>
          <w:i/>
          <w:szCs w:val="24"/>
        </w:rPr>
        <w:t xml:space="preserve">Table </w:t>
      </w:r>
      <w:bookmarkStart w:id="6" w:name="_Hlk507249020"/>
      <w:r w:rsidR="008C084B">
        <w:rPr>
          <w:i/>
          <w:szCs w:val="24"/>
        </w:rPr>
        <w:t>4-</w:t>
      </w:r>
      <w:proofErr w:type="gramStart"/>
      <w:r>
        <w:rPr>
          <w:i/>
          <w:szCs w:val="24"/>
        </w:rPr>
        <w:t>4</w:t>
      </w:r>
      <w:r w:rsidR="00E43BEE">
        <w:rPr>
          <w:i/>
          <w:szCs w:val="24"/>
        </w:rPr>
        <w:t xml:space="preserve">  </w:t>
      </w:r>
      <w:r w:rsidRPr="008935DF">
        <w:rPr>
          <w:i/>
          <w:szCs w:val="24"/>
        </w:rPr>
        <w:t>Funds</w:t>
      </w:r>
      <w:proofErr w:type="gramEnd"/>
      <w:r w:rsidRPr="008935DF">
        <w:rPr>
          <w:i/>
          <w:szCs w:val="24"/>
        </w:rPr>
        <w:t xml:space="preserve"> disbursed to NHDC</w:t>
      </w:r>
      <w:bookmarkEnd w:id="6"/>
    </w:p>
    <w:p w:rsidR="00CF46B4" w:rsidRDefault="00CF46B4" w:rsidP="00CF46B4">
      <w:pPr>
        <w:autoSpaceDE w:val="0"/>
        <w:autoSpaceDN w:val="0"/>
        <w:adjustRightInd w:val="0"/>
        <w:spacing w:after="0" w:line="240" w:lineRule="auto"/>
        <w:rPr>
          <w:i/>
          <w:szCs w:val="24"/>
        </w:rPr>
      </w:pPr>
    </w:p>
    <w:p w:rsidR="00E43BEE" w:rsidRPr="008935DF" w:rsidRDefault="00E43BEE" w:rsidP="00E43BEE">
      <w:pPr>
        <w:pBdr>
          <w:top w:val="single" w:sz="4" w:space="1" w:color="auto"/>
        </w:pBdr>
        <w:autoSpaceDE w:val="0"/>
        <w:autoSpaceDN w:val="0"/>
        <w:adjustRightInd w:val="0"/>
        <w:spacing w:after="0" w:line="240" w:lineRule="auto"/>
        <w:rPr>
          <w:i/>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1512"/>
      </w:tblGrid>
      <w:tr w:rsidR="00CF46B4" w:rsidRPr="00AF4B68" w:rsidTr="008C084B">
        <w:trPr>
          <w:trHeight w:hRule="exact" w:val="432"/>
          <w:jc w:val="center"/>
        </w:trPr>
        <w:tc>
          <w:tcPr>
            <w:tcW w:w="5868" w:type="dxa"/>
          </w:tcPr>
          <w:p w:rsidR="00CF46B4" w:rsidRPr="00AF4B68" w:rsidRDefault="00CF46B4" w:rsidP="008C084B">
            <w:pPr>
              <w:spacing w:before="40" w:after="40"/>
              <w:jc w:val="both"/>
              <w:rPr>
                <w:color w:val="000000"/>
                <w:szCs w:val="24"/>
              </w:rPr>
            </w:pPr>
          </w:p>
        </w:tc>
        <w:tc>
          <w:tcPr>
            <w:tcW w:w="1512" w:type="dxa"/>
          </w:tcPr>
          <w:p w:rsidR="00CF46B4" w:rsidRPr="00AF4B68" w:rsidRDefault="00CF46B4" w:rsidP="008C084B">
            <w:pPr>
              <w:spacing w:before="40" w:after="40"/>
              <w:jc w:val="right"/>
              <w:rPr>
                <w:b/>
                <w:color w:val="000000"/>
                <w:szCs w:val="24"/>
              </w:rPr>
            </w:pPr>
            <w:r>
              <w:rPr>
                <w:b/>
                <w:color w:val="000000"/>
                <w:szCs w:val="24"/>
              </w:rPr>
              <w:t>(</w:t>
            </w:r>
            <w:r w:rsidRPr="00AF4B68">
              <w:rPr>
                <w:b/>
                <w:color w:val="000000"/>
                <w:szCs w:val="24"/>
              </w:rPr>
              <w:t>Rs</w:t>
            </w:r>
            <w:r w:rsidR="00E43BEE">
              <w:rPr>
                <w:b/>
                <w:color w:val="000000"/>
                <w:szCs w:val="24"/>
              </w:rPr>
              <w:t xml:space="preserve"> </w:t>
            </w:r>
            <w:r w:rsidRPr="00AF4B68">
              <w:rPr>
                <w:b/>
                <w:color w:val="000000"/>
                <w:szCs w:val="24"/>
              </w:rPr>
              <w:t>Million</w:t>
            </w:r>
            <w:r>
              <w:rPr>
                <w:b/>
                <w:color w:val="000000"/>
                <w:szCs w:val="24"/>
              </w:rPr>
              <w:t>)</w:t>
            </w:r>
          </w:p>
        </w:tc>
      </w:tr>
      <w:tr w:rsidR="00CF46B4" w:rsidRPr="00AF4B68" w:rsidTr="00CF46B4">
        <w:trPr>
          <w:trHeight w:hRule="exact" w:val="432"/>
          <w:jc w:val="center"/>
        </w:trPr>
        <w:tc>
          <w:tcPr>
            <w:tcW w:w="5868" w:type="dxa"/>
          </w:tcPr>
          <w:p w:rsidR="00CF46B4" w:rsidRPr="00AF4B68" w:rsidRDefault="00CF46B4" w:rsidP="008C084B">
            <w:pPr>
              <w:spacing w:before="40" w:after="40"/>
              <w:jc w:val="both"/>
              <w:rPr>
                <w:color w:val="000000"/>
                <w:szCs w:val="24"/>
              </w:rPr>
            </w:pPr>
            <w:r>
              <w:rPr>
                <w:color w:val="000000"/>
                <w:szCs w:val="24"/>
              </w:rPr>
              <w:t>Construction of Social Housing U</w:t>
            </w:r>
            <w:r w:rsidRPr="00AF4B68">
              <w:rPr>
                <w:color w:val="000000"/>
                <w:szCs w:val="24"/>
              </w:rPr>
              <w:t>nits</w:t>
            </w:r>
          </w:p>
        </w:tc>
        <w:tc>
          <w:tcPr>
            <w:tcW w:w="1512" w:type="dxa"/>
          </w:tcPr>
          <w:p w:rsidR="00CF46B4" w:rsidRPr="00AF4B68" w:rsidRDefault="00CF46B4" w:rsidP="008C084B">
            <w:pPr>
              <w:spacing w:before="40" w:after="40"/>
              <w:ind w:right="265"/>
              <w:jc w:val="right"/>
              <w:rPr>
                <w:color w:val="000000"/>
                <w:szCs w:val="24"/>
              </w:rPr>
            </w:pPr>
            <w:r w:rsidRPr="00AF4B68">
              <w:rPr>
                <w:color w:val="000000"/>
                <w:szCs w:val="24"/>
              </w:rPr>
              <w:t>672.9</w:t>
            </w:r>
          </w:p>
        </w:tc>
      </w:tr>
      <w:tr w:rsidR="00CF46B4" w:rsidRPr="00AF4B68" w:rsidTr="00CF46B4">
        <w:trPr>
          <w:trHeight w:hRule="exact" w:val="432"/>
          <w:jc w:val="center"/>
        </w:trPr>
        <w:tc>
          <w:tcPr>
            <w:tcW w:w="5868" w:type="dxa"/>
          </w:tcPr>
          <w:p w:rsidR="00CF46B4" w:rsidRPr="00AF4B68" w:rsidRDefault="00CF46B4" w:rsidP="008C084B">
            <w:pPr>
              <w:spacing w:before="40" w:after="40"/>
              <w:jc w:val="both"/>
              <w:rPr>
                <w:color w:val="000000"/>
                <w:szCs w:val="24"/>
              </w:rPr>
            </w:pPr>
            <w:r w:rsidRPr="00AF4B68">
              <w:rPr>
                <w:color w:val="000000"/>
                <w:szCs w:val="24"/>
              </w:rPr>
              <w:t>Loans to National Housing Development Company</w:t>
            </w:r>
          </w:p>
        </w:tc>
        <w:tc>
          <w:tcPr>
            <w:tcW w:w="1512" w:type="dxa"/>
          </w:tcPr>
          <w:p w:rsidR="00CF46B4" w:rsidRPr="00AF4B68" w:rsidRDefault="00CF46B4" w:rsidP="008C084B">
            <w:pPr>
              <w:spacing w:before="40" w:after="40"/>
              <w:ind w:right="265"/>
              <w:jc w:val="right"/>
              <w:rPr>
                <w:color w:val="000000"/>
                <w:szCs w:val="24"/>
              </w:rPr>
            </w:pPr>
            <w:r w:rsidRPr="00AF4B68">
              <w:rPr>
                <w:color w:val="000000"/>
                <w:szCs w:val="24"/>
              </w:rPr>
              <w:t>200.0</w:t>
            </w:r>
          </w:p>
        </w:tc>
      </w:tr>
      <w:tr w:rsidR="00CF46B4" w:rsidRPr="00AF4B68" w:rsidTr="00CF46B4">
        <w:trPr>
          <w:trHeight w:hRule="exact" w:val="432"/>
          <w:jc w:val="center"/>
        </w:trPr>
        <w:tc>
          <w:tcPr>
            <w:tcW w:w="5868" w:type="dxa"/>
          </w:tcPr>
          <w:p w:rsidR="00CF46B4" w:rsidRPr="00AF4B68" w:rsidRDefault="00CF46B4" w:rsidP="008C084B">
            <w:pPr>
              <w:spacing w:before="40" w:after="40"/>
              <w:jc w:val="both"/>
              <w:rPr>
                <w:color w:val="000000"/>
                <w:szCs w:val="24"/>
              </w:rPr>
            </w:pPr>
            <w:r w:rsidRPr="00AF4B68">
              <w:rPr>
                <w:color w:val="000000"/>
                <w:szCs w:val="24"/>
              </w:rPr>
              <w:t>Rehabilita</w:t>
            </w:r>
            <w:r>
              <w:rPr>
                <w:color w:val="000000"/>
                <w:szCs w:val="24"/>
              </w:rPr>
              <w:t>tion of Infrastructure of NHDC Housing E</w:t>
            </w:r>
            <w:r w:rsidRPr="00AF4B68">
              <w:rPr>
                <w:color w:val="000000"/>
                <w:szCs w:val="24"/>
              </w:rPr>
              <w:t>states</w:t>
            </w:r>
          </w:p>
        </w:tc>
        <w:tc>
          <w:tcPr>
            <w:tcW w:w="1512" w:type="dxa"/>
          </w:tcPr>
          <w:p w:rsidR="00CF46B4" w:rsidRPr="00AF4B68" w:rsidRDefault="00CF46B4" w:rsidP="008C084B">
            <w:pPr>
              <w:spacing w:before="40" w:after="40"/>
              <w:ind w:right="265"/>
              <w:jc w:val="right"/>
              <w:rPr>
                <w:color w:val="000000"/>
                <w:szCs w:val="24"/>
              </w:rPr>
            </w:pPr>
            <w:r w:rsidRPr="00AF4B68">
              <w:rPr>
                <w:color w:val="000000"/>
                <w:szCs w:val="24"/>
              </w:rPr>
              <w:t xml:space="preserve">173.4 </w:t>
            </w:r>
          </w:p>
        </w:tc>
      </w:tr>
      <w:tr w:rsidR="00CF46B4" w:rsidRPr="00AF4B68" w:rsidTr="00CF46B4">
        <w:trPr>
          <w:trHeight w:hRule="exact" w:val="432"/>
          <w:jc w:val="center"/>
        </w:trPr>
        <w:tc>
          <w:tcPr>
            <w:tcW w:w="5868" w:type="dxa"/>
          </w:tcPr>
          <w:p w:rsidR="00CF46B4" w:rsidRPr="00AF4B68" w:rsidRDefault="00CF46B4" w:rsidP="008C084B">
            <w:pPr>
              <w:spacing w:before="40" w:after="40"/>
              <w:jc w:val="both"/>
              <w:rPr>
                <w:color w:val="000000"/>
                <w:szCs w:val="24"/>
              </w:rPr>
            </w:pPr>
            <w:r>
              <w:rPr>
                <w:color w:val="000000"/>
                <w:szCs w:val="24"/>
              </w:rPr>
              <w:t>Casting of Roof Slabs Grant S</w:t>
            </w:r>
            <w:r w:rsidRPr="00AF4B68">
              <w:rPr>
                <w:color w:val="000000"/>
                <w:szCs w:val="24"/>
              </w:rPr>
              <w:t>cheme</w:t>
            </w:r>
          </w:p>
        </w:tc>
        <w:tc>
          <w:tcPr>
            <w:tcW w:w="1512" w:type="dxa"/>
          </w:tcPr>
          <w:p w:rsidR="00CF46B4" w:rsidRPr="00AF4B68" w:rsidRDefault="00CF46B4" w:rsidP="008C084B">
            <w:pPr>
              <w:spacing w:before="40" w:after="40"/>
              <w:ind w:right="265"/>
              <w:jc w:val="right"/>
              <w:rPr>
                <w:color w:val="000000"/>
                <w:szCs w:val="24"/>
              </w:rPr>
            </w:pPr>
            <w:r w:rsidRPr="00AF4B68">
              <w:rPr>
                <w:color w:val="000000"/>
                <w:szCs w:val="24"/>
              </w:rPr>
              <w:t xml:space="preserve">91.8 </w:t>
            </w:r>
          </w:p>
        </w:tc>
      </w:tr>
      <w:tr w:rsidR="00CF46B4" w:rsidRPr="00AF4B68" w:rsidTr="00CF46B4">
        <w:trPr>
          <w:trHeight w:hRule="exact" w:val="432"/>
          <w:jc w:val="center"/>
        </w:trPr>
        <w:tc>
          <w:tcPr>
            <w:tcW w:w="5868" w:type="dxa"/>
          </w:tcPr>
          <w:p w:rsidR="00CF46B4" w:rsidRPr="00AF4B68" w:rsidRDefault="00CF46B4" w:rsidP="008C084B">
            <w:pPr>
              <w:spacing w:before="40" w:after="40"/>
              <w:jc w:val="both"/>
              <w:rPr>
                <w:color w:val="000000"/>
                <w:szCs w:val="24"/>
              </w:rPr>
            </w:pPr>
            <w:r w:rsidRPr="00AF4B68">
              <w:rPr>
                <w:color w:val="000000"/>
                <w:szCs w:val="24"/>
              </w:rPr>
              <w:t>S</w:t>
            </w:r>
            <w:r>
              <w:rPr>
                <w:color w:val="000000"/>
                <w:szCs w:val="24"/>
              </w:rPr>
              <w:t>yndics for maintenance of NHDC Housing E</w:t>
            </w:r>
            <w:r w:rsidRPr="00AF4B68">
              <w:rPr>
                <w:color w:val="000000"/>
                <w:szCs w:val="24"/>
              </w:rPr>
              <w:t>states</w:t>
            </w:r>
          </w:p>
        </w:tc>
        <w:tc>
          <w:tcPr>
            <w:tcW w:w="1512" w:type="dxa"/>
          </w:tcPr>
          <w:p w:rsidR="00CF46B4" w:rsidRPr="00AF4B68" w:rsidRDefault="00CF46B4" w:rsidP="008C084B">
            <w:pPr>
              <w:spacing w:before="40" w:after="40"/>
              <w:ind w:right="265"/>
              <w:jc w:val="right"/>
              <w:rPr>
                <w:color w:val="000000"/>
                <w:szCs w:val="24"/>
              </w:rPr>
            </w:pPr>
            <w:r w:rsidRPr="00AF4B68">
              <w:rPr>
                <w:color w:val="000000"/>
                <w:szCs w:val="24"/>
              </w:rPr>
              <w:t xml:space="preserve">15.3 </w:t>
            </w:r>
          </w:p>
        </w:tc>
      </w:tr>
      <w:tr w:rsidR="00CF46B4" w:rsidRPr="00AF4B68" w:rsidTr="00CF46B4">
        <w:trPr>
          <w:trHeight w:hRule="exact" w:val="432"/>
          <w:jc w:val="center"/>
        </w:trPr>
        <w:tc>
          <w:tcPr>
            <w:tcW w:w="5868" w:type="dxa"/>
          </w:tcPr>
          <w:p w:rsidR="00CF46B4" w:rsidRPr="00AF4B68" w:rsidRDefault="00CF46B4" w:rsidP="008C084B">
            <w:pPr>
              <w:spacing w:before="40" w:after="40"/>
              <w:jc w:val="both"/>
              <w:rPr>
                <w:color w:val="000000"/>
                <w:szCs w:val="24"/>
              </w:rPr>
            </w:pPr>
            <w:r w:rsidRPr="00AF4B68">
              <w:rPr>
                <w:color w:val="000000"/>
                <w:szCs w:val="24"/>
              </w:rPr>
              <w:t>Subsidies</w:t>
            </w:r>
            <w:r w:rsidR="00E43BEE">
              <w:rPr>
                <w:color w:val="000000"/>
                <w:szCs w:val="24"/>
              </w:rPr>
              <w:t xml:space="preserve"> </w:t>
            </w:r>
            <w:r w:rsidRPr="00AF4B68">
              <w:rPr>
                <w:color w:val="000000"/>
                <w:szCs w:val="24"/>
              </w:rPr>
              <w:t>- NHDC - Housing loans</w:t>
            </w:r>
          </w:p>
        </w:tc>
        <w:tc>
          <w:tcPr>
            <w:tcW w:w="1512" w:type="dxa"/>
          </w:tcPr>
          <w:p w:rsidR="00CF46B4" w:rsidRPr="00AF4B68" w:rsidRDefault="00CF46B4" w:rsidP="008C084B">
            <w:pPr>
              <w:spacing w:before="40" w:after="40"/>
              <w:ind w:right="265"/>
              <w:jc w:val="right"/>
              <w:rPr>
                <w:color w:val="000000"/>
                <w:szCs w:val="24"/>
              </w:rPr>
            </w:pPr>
            <w:r w:rsidRPr="00AF4B68">
              <w:rPr>
                <w:color w:val="000000"/>
                <w:szCs w:val="24"/>
              </w:rPr>
              <w:t xml:space="preserve">15.9 </w:t>
            </w:r>
          </w:p>
        </w:tc>
      </w:tr>
      <w:tr w:rsidR="00CF46B4" w:rsidRPr="00AF4B68" w:rsidTr="00CF46B4">
        <w:trPr>
          <w:trHeight w:hRule="exact" w:val="432"/>
          <w:jc w:val="center"/>
        </w:trPr>
        <w:tc>
          <w:tcPr>
            <w:tcW w:w="5868" w:type="dxa"/>
          </w:tcPr>
          <w:p w:rsidR="00CF46B4" w:rsidRPr="00AF4B68" w:rsidRDefault="00CF46B4" w:rsidP="008C084B">
            <w:pPr>
              <w:spacing w:before="40" w:after="40"/>
              <w:jc w:val="both"/>
              <w:rPr>
                <w:b/>
                <w:color w:val="000000"/>
                <w:szCs w:val="24"/>
              </w:rPr>
            </w:pPr>
            <w:r w:rsidRPr="00AF4B68">
              <w:rPr>
                <w:b/>
                <w:color w:val="000000"/>
                <w:szCs w:val="24"/>
              </w:rPr>
              <w:t>Total</w:t>
            </w:r>
          </w:p>
        </w:tc>
        <w:tc>
          <w:tcPr>
            <w:tcW w:w="1512" w:type="dxa"/>
          </w:tcPr>
          <w:p w:rsidR="00CF46B4" w:rsidRPr="00AF4B68" w:rsidRDefault="00CF46B4" w:rsidP="008C084B">
            <w:pPr>
              <w:spacing w:before="40" w:after="40"/>
              <w:ind w:right="265"/>
              <w:jc w:val="right"/>
              <w:rPr>
                <w:b/>
                <w:color w:val="000000"/>
                <w:szCs w:val="24"/>
              </w:rPr>
            </w:pPr>
            <w:r w:rsidRPr="00AF4B68">
              <w:rPr>
                <w:b/>
                <w:color w:val="000000"/>
                <w:szCs w:val="24"/>
              </w:rPr>
              <w:t>1,169.3</w:t>
            </w:r>
          </w:p>
        </w:tc>
      </w:tr>
    </w:tbl>
    <w:p w:rsidR="00CF46B4" w:rsidRDefault="00CF46B4" w:rsidP="00E43BEE">
      <w:pPr>
        <w:pBdr>
          <w:bottom w:val="single" w:sz="4" w:space="1" w:color="auto"/>
        </w:pBdr>
        <w:spacing w:after="0" w:line="240" w:lineRule="auto"/>
        <w:jc w:val="both"/>
        <w:rPr>
          <w:rFonts w:eastAsia="Times New Roman"/>
          <w:szCs w:val="24"/>
        </w:rPr>
      </w:pPr>
    </w:p>
    <w:p w:rsidR="00CF46B4" w:rsidRPr="00746F5F" w:rsidRDefault="00CF46B4" w:rsidP="00CF46B4">
      <w:pPr>
        <w:spacing w:after="0" w:line="240" w:lineRule="auto"/>
        <w:jc w:val="both"/>
        <w:rPr>
          <w:rFonts w:eastAsia="Times New Roman"/>
          <w:szCs w:val="24"/>
        </w:rPr>
      </w:pPr>
    </w:p>
    <w:p w:rsidR="00CF46B4" w:rsidRPr="00CD0290" w:rsidRDefault="00CF46B4" w:rsidP="00CF46B4">
      <w:pPr>
        <w:spacing w:after="0" w:line="240" w:lineRule="auto"/>
        <w:jc w:val="both"/>
        <w:rPr>
          <w:rFonts w:eastAsia="Times New Roman"/>
          <w:szCs w:val="24"/>
        </w:rPr>
      </w:pPr>
      <w:r w:rsidRPr="00CD0290">
        <w:rPr>
          <w:rFonts w:eastAsia="Times New Roman"/>
          <w:szCs w:val="24"/>
        </w:rPr>
        <w:t>Though significant funds had been disbursed by the Ministry to the NHDC, the latter had not submitted</w:t>
      </w:r>
      <w:r w:rsidR="00E43BEE">
        <w:rPr>
          <w:rFonts w:eastAsia="Times New Roman"/>
          <w:szCs w:val="24"/>
        </w:rPr>
        <w:t xml:space="preserve"> </w:t>
      </w:r>
      <w:r w:rsidRPr="00CD0290">
        <w:rPr>
          <w:rFonts w:eastAsia="Times New Roman"/>
          <w:szCs w:val="24"/>
        </w:rPr>
        <w:t>its Annual Reports together with its finan</w:t>
      </w:r>
      <w:r w:rsidR="00CF5CC4">
        <w:rPr>
          <w:rFonts w:eastAsia="Times New Roman"/>
          <w:szCs w:val="24"/>
        </w:rPr>
        <w:t>cial statements to the Ministry.</w:t>
      </w:r>
    </w:p>
    <w:p w:rsidR="00CF46B4" w:rsidRPr="00AF4B68" w:rsidRDefault="00CF46B4" w:rsidP="00CF46B4">
      <w:pPr>
        <w:pStyle w:val="ListParagraph"/>
        <w:spacing w:after="0" w:line="240" w:lineRule="auto"/>
        <w:ind w:left="360"/>
        <w:jc w:val="both"/>
        <w:rPr>
          <w:rFonts w:eastAsia="Times New Roman"/>
          <w:szCs w:val="24"/>
        </w:rPr>
      </w:pPr>
      <w:r w:rsidRPr="00AF4B68">
        <w:rPr>
          <w:rFonts w:eastAsia="Times New Roman"/>
          <w:szCs w:val="24"/>
        </w:rPr>
        <w:t xml:space="preserve"> </w:t>
      </w:r>
    </w:p>
    <w:p w:rsidR="00CF46B4" w:rsidRPr="00CD0290" w:rsidRDefault="00CF46B4" w:rsidP="00CF46B4">
      <w:pPr>
        <w:spacing w:after="0" w:line="240" w:lineRule="auto"/>
        <w:jc w:val="both"/>
        <w:rPr>
          <w:rFonts w:eastAsia="Times New Roman"/>
          <w:szCs w:val="24"/>
        </w:rPr>
      </w:pPr>
      <w:r w:rsidRPr="00CD0290">
        <w:rPr>
          <w:rFonts w:eastAsia="Times New Roman"/>
          <w:szCs w:val="24"/>
        </w:rPr>
        <w:t>Applications for funds for 2016-17 were not supported by monthly cash flow statements and</w:t>
      </w:r>
      <w:r w:rsidR="00E43BEE">
        <w:rPr>
          <w:rFonts w:eastAsia="Times New Roman"/>
          <w:szCs w:val="24"/>
        </w:rPr>
        <w:t xml:space="preserve"> </w:t>
      </w:r>
      <w:r w:rsidR="00CF5CC4">
        <w:rPr>
          <w:rFonts w:eastAsia="Times New Roman"/>
          <w:szCs w:val="24"/>
        </w:rPr>
        <w:t>bank statements.</w:t>
      </w:r>
    </w:p>
    <w:p w:rsidR="00CF46B4" w:rsidRPr="00AF4B68" w:rsidRDefault="00CF46B4" w:rsidP="00CF46B4">
      <w:pPr>
        <w:pStyle w:val="ListParagraph"/>
        <w:spacing w:after="0" w:line="240" w:lineRule="auto"/>
        <w:ind w:left="360"/>
        <w:jc w:val="both"/>
        <w:rPr>
          <w:rFonts w:eastAsia="Times New Roman"/>
          <w:szCs w:val="24"/>
        </w:rPr>
      </w:pPr>
    </w:p>
    <w:p w:rsidR="00CF46B4" w:rsidRPr="00F8458B" w:rsidRDefault="00CF46B4" w:rsidP="00CF46B4">
      <w:pPr>
        <w:spacing w:after="0" w:line="240" w:lineRule="auto"/>
        <w:jc w:val="both"/>
        <w:rPr>
          <w:rFonts w:eastAsia="Times New Roman"/>
          <w:b/>
          <w:i/>
          <w:szCs w:val="24"/>
        </w:rPr>
      </w:pPr>
      <w:r w:rsidRPr="00F8458B">
        <w:rPr>
          <w:rFonts w:eastAsia="Times New Roman"/>
          <w:b/>
          <w:i/>
          <w:szCs w:val="24"/>
        </w:rPr>
        <w:t>Recommendations</w:t>
      </w:r>
    </w:p>
    <w:p w:rsidR="00CF46B4" w:rsidRPr="007511FF" w:rsidRDefault="00CF46B4" w:rsidP="00CF46B4">
      <w:pPr>
        <w:spacing w:after="0" w:line="240" w:lineRule="auto"/>
        <w:jc w:val="both"/>
        <w:rPr>
          <w:rFonts w:eastAsia="Times New Roman"/>
          <w:i/>
          <w:szCs w:val="24"/>
        </w:rPr>
      </w:pPr>
    </w:p>
    <w:p w:rsidR="00CF46B4" w:rsidRPr="00AF4B68" w:rsidRDefault="00CF46B4" w:rsidP="00CF46B4">
      <w:pPr>
        <w:pStyle w:val="ListParagraph"/>
        <w:numPr>
          <w:ilvl w:val="0"/>
          <w:numId w:val="7"/>
        </w:numPr>
        <w:spacing w:after="0" w:line="240" w:lineRule="auto"/>
        <w:ind w:left="360"/>
        <w:jc w:val="both"/>
        <w:rPr>
          <w:rFonts w:eastAsia="Times New Roman"/>
          <w:szCs w:val="24"/>
        </w:rPr>
      </w:pPr>
      <w:r w:rsidRPr="00AF4B68">
        <w:rPr>
          <w:rFonts w:eastAsia="Times New Roman"/>
          <w:szCs w:val="24"/>
        </w:rPr>
        <w:t xml:space="preserve">NHDC </w:t>
      </w:r>
      <w:r>
        <w:rPr>
          <w:rFonts w:eastAsia="Times New Roman"/>
          <w:szCs w:val="24"/>
        </w:rPr>
        <w:t xml:space="preserve">should submit its Annual Report and Financial Statements </w:t>
      </w:r>
      <w:r w:rsidR="00CF5CC4">
        <w:rPr>
          <w:rFonts w:eastAsia="Times New Roman"/>
          <w:szCs w:val="24"/>
        </w:rPr>
        <w:t>annual</w:t>
      </w:r>
      <w:r>
        <w:rPr>
          <w:rFonts w:eastAsia="Times New Roman"/>
          <w:szCs w:val="24"/>
        </w:rPr>
        <w:t>ly t</w:t>
      </w:r>
      <w:r w:rsidRPr="00AF4B68">
        <w:rPr>
          <w:rFonts w:eastAsia="Times New Roman"/>
          <w:szCs w:val="24"/>
        </w:rPr>
        <w:t>o the Ministry</w:t>
      </w:r>
      <w:r>
        <w:rPr>
          <w:rFonts w:eastAsia="Times New Roman"/>
          <w:szCs w:val="24"/>
        </w:rPr>
        <w:t>;</w:t>
      </w:r>
    </w:p>
    <w:p w:rsidR="00CF46B4" w:rsidRDefault="00CF46B4" w:rsidP="00CF46B4">
      <w:pPr>
        <w:pStyle w:val="ListParagraph"/>
        <w:spacing w:after="0" w:line="240" w:lineRule="auto"/>
        <w:ind w:left="360"/>
        <w:jc w:val="both"/>
        <w:rPr>
          <w:rFonts w:eastAsia="Times New Roman"/>
          <w:szCs w:val="24"/>
        </w:rPr>
      </w:pPr>
    </w:p>
    <w:p w:rsidR="00CF46B4" w:rsidRDefault="00CF46B4" w:rsidP="00CF46B4">
      <w:pPr>
        <w:pStyle w:val="ListParagraph"/>
        <w:numPr>
          <w:ilvl w:val="0"/>
          <w:numId w:val="7"/>
        </w:numPr>
        <w:spacing w:after="0" w:line="240" w:lineRule="auto"/>
        <w:ind w:left="360"/>
        <w:jc w:val="both"/>
        <w:rPr>
          <w:rFonts w:eastAsia="Times New Roman"/>
          <w:szCs w:val="24"/>
        </w:rPr>
      </w:pPr>
      <w:r w:rsidRPr="00AF4B68">
        <w:rPr>
          <w:rFonts w:eastAsia="Times New Roman"/>
          <w:szCs w:val="24"/>
        </w:rPr>
        <w:t>With the Negative Income Tax Schem</w:t>
      </w:r>
      <w:r>
        <w:rPr>
          <w:rFonts w:eastAsia="Times New Roman"/>
          <w:szCs w:val="24"/>
        </w:rPr>
        <w:t>e, the NHDC should require each A</w:t>
      </w:r>
      <w:r w:rsidRPr="00AF4B68">
        <w:rPr>
          <w:rFonts w:eastAsia="Times New Roman"/>
          <w:szCs w:val="24"/>
        </w:rPr>
        <w:t>pplicant to also s</w:t>
      </w:r>
      <w:r>
        <w:rPr>
          <w:rFonts w:eastAsia="Times New Roman"/>
          <w:szCs w:val="24"/>
        </w:rPr>
        <w:t>ubmit a copy of the Income Tax R</w:t>
      </w:r>
      <w:r w:rsidRPr="00AF4B68">
        <w:rPr>
          <w:rFonts w:eastAsia="Times New Roman"/>
          <w:szCs w:val="24"/>
        </w:rPr>
        <w:t>eturns filed at the Mauritius Revenue Authority</w:t>
      </w:r>
      <w:r>
        <w:rPr>
          <w:rFonts w:eastAsia="Times New Roman"/>
          <w:szCs w:val="24"/>
        </w:rPr>
        <w:t>;</w:t>
      </w:r>
    </w:p>
    <w:p w:rsidR="00CF46B4" w:rsidRPr="008C084B" w:rsidRDefault="00CF46B4" w:rsidP="008C084B">
      <w:pPr>
        <w:spacing w:after="0" w:line="240" w:lineRule="auto"/>
        <w:rPr>
          <w:rFonts w:eastAsia="Times New Roman"/>
          <w:szCs w:val="24"/>
        </w:rPr>
      </w:pPr>
    </w:p>
    <w:p w:rsidR="00CF46B4" w:rsidRDefault="00CF46B4" w:rsidP="00CF46B4">
      <w:pPr>
        <w:pStyle w:val="ListParagraph"/>
        <w:numPr>
          <w:ilvl w:val="0"/>
          <w:numId w:val="7"/>
        </w:numPr>
        <w:spacing w:after="0" w:line="240" w:lineRule="auto"/>
        <w:ind w:left="360"/>
        <w:jc w:val="both"/>
        <w:rPr>
          <w:rFonts w:eastAsia="Times New Roman"/>
          <w:szCs w:val="24"/>
        </w:rPr>
      </w:pPr>
      <w:r>
        <w:rPr>
          <w:rFonts w:eastAsia="Times New Roman"/>
          <w:szCs w:val="24"/>
        </w:rPr>
        <w:t xml:space="preserve">The </w:t>
      </w:r>
      <w:r w:rsidRPr="00F0551B">
        <w:t>Ministry</w:t>
      </w:r>
      <w:r>
        <w:rPr>
          <w:rFonts w:eastAsia="Times New Roman"/>
          <w:szCs w:val="24"/>
        </w:rPr>
        <w:t xml:space="preserve"> should ensure compliance with grant conditions before disbursement of funds.</w:t>
      </w:r>
      <w:r w:rsidR="00E43BEE">
        <w:rPr>
          <w:rFonts w:eastAsia="Times New Roman"/>
          <w:szCs w:val="24"/>
        </w:rPr>
        <w:t xml:space="preserve"> </w:t>
      </w:r>
    </w:p>
    <w:p w:rsidR="00372A02" w:rsidRDefault="00372A02">
      <w:pPr>
        <w:rPr>
          <w:rFonts w:eastAsia="Times New Roman"/>
          <w:szCs w:val="24"/>
        </w:rPr>
      </w:pPr>
      <w:r>
        <w:rPr>
          <w:rFonts w:eastAsia="Times New Roman"/>
          <w:szCs w:val="24"/>
        </w:rPr>
        <w:br w:type="page"/>
      </w:r>
    </w:p>
    <w:p w:rsidR="00CF46B4" w:rsidRPr="00F8458B" w:rsidRDefault="00CF46B4" w:rsidP="00CF46B4">
      <w:pPr>
        <w:spacing w:after="0" w:line="240" w:lineRule="auto"/>
        <w:jc w:val="both"/>
        <w:rPr>
          <w:rFonts w:eastAsia="Times New Roman"/>
          <w:b/>
          <w:i/>
          <w:szCs w:val="24"/>
        </w:rPr>
      </w:pPr>
      <w:r w:rsidRPr="00F8458B">
        <w:rPr>
          <w:rFonts w:eastAsia="Times New Roman"/>
          <w:b/>
          <w:i/>
          <w:szCs w:val="24"/>
        </w:rPr>
        <w:lastRenderedPageBreak/>
        <w:t>Ministry’s Reply</w:t>
      </w:r>
    </w:p>
    <w:p w:rsidR="00CF46B4" w:rsidRPr="00AD08B6" w:rsidRDefault="00CF46B4" w:rsidP="00AD08B6">
      <w:pPr>
        <w:tabs>
          <w:tab w:val="left" w:pos="360"/>
        </w:tabs>
        <w:spacing w:after="0" w:line="240" w:lineRule="auto"/>
        <w:jc w:val="both"/>
        <w:rPr>
          <w:b/>
          <w:szCs w:val="24"/>
        </w:rPr>
      </w:pPr>
    </w:p>
    <w:p w:rsidR="00CF46B4" w:rsidRDefault="00CF46B4" w:rsidP="00CF46B4">
      <w:pPr>
        <w:tabs>
          <w:tab w:val="left" w:pos="360"/>
        </w:tabs>
        <w:spacing w:after="0" w:line="240" w:lineRule="auto"/>
        <w:jc w:val="both"/>
      </w:pPr>
      <w:r w:rsidRPr="00F0551B">
        <w:t xml:space="preserve">The Ministry is </w:t>
      </w:r>
      <w:proofErr w:type="spellStart"/>
      <w:r w:rsidRPr="00F0551B">
        <w:t>favourable</w:t>
      </w:r>
      <w:proofErr w:type="spellEnd"/>
      <w:r w:rsidRPr="00F0551B">
        <w:t xml:space="preserve"> to the recommendation for submission of </w:t>
      </w:r>
      <w:r w:rsidRPr="00781B91">
        <w:rPr>
          <w:szCs w:val="24"/>
        </w:rPr>
        <w:t xml:space="preserve">Income Tax Return </w:t>
      </w:r>
      <w:r w:rsidRPr="00F0551B">
        <w:t>and the NHDC will be informed accordingly;</w:t>
      </w:r>
    </w:p>
    <w:p w:rsidR="00AD08B6" w:rsidRDefault="00AD08B6" w:rsidP="00CF46B4">
      <w:pPr>
        <w:tabs>
          <w:tab w:val="left" w:pos="360"/>
        </w:tabs>
        <w:spacing w:after="0" w:line="240" w:lineRule="auto"/>
        <w:jc w:val="both"/>
      </w:pPr>
    </w:p>
    <w:p w:rsidR="00372A02" w:rsidRPr="00372A02" w:rsidRDefault="00372A02" w:rsidP="00372A02">
      <w:pPr>
        <w:spacing w:after="0" w:line="240" w:lineRule="auto"/>
        <w:jc w:val="both"/>
        <w:rPr>
          <w:rFonts w:eastAsiaTheme="minorHAnsi" w:cstheme="minorBidi"/>
          <w:szCs w:val="24"/>
        </w:rPr>
      </w:pPr>
      <w:r w:rsidRPr="00372A02">
        <w:rPr>
          <w:rFonts w:eastAsiaTheme="minorHAnsi" w:cstheme="minorBidi"/>
          <w:szCs w:val="24"/>
        </w:rPr>
        <w:t>Currently there is no legal requirement for the NHDC to submit its Annual Report to the Ministry or the National Assembly.  The NHDC has been informed that it should submit its Annual Report to the Ministry for onward transmission to the National Assembly.</w:t>
      </w:r>
    </w:p>
    <w:p w:rsidR="00AD08B6" w:rsidRPr="00781B91" w:rsidRDefault="00AD08B6" w:rsidP="00372A02">
      <w:pPr>
        <w:tabs>
          <w:tab w:val="left" w:pos="360"/>
        </w:tabs>
        <w:spacing w:after="0" w:line="240" w:lineRule="auto"/>
        <w:jc w:val="both"/>
        <w:rPr>
          <w:szCs w:val="24"/>
        </w:rPr>
      </w:pPr>
    </w:p>
    <w:p w:rsidR="00F8458B" w:rsidRDefault="00F8458B" w:rsidP="00372A02">
      <w:pPr>
        <w:spacing w:after="0" w:line="240" w:lineRule="auto"/>
        <w:rPr>
          <w:b/>
          <w:szCs w:val="24"/>
        </w:rPr>
      </w:pPr>
    </w:p>
    <w:p w:rsidR="00CF46B4" w:rsidRDefault="008C084B" w:rsidP="00CF46B4">
      <w:pPr>
        <w:spacing w:after="0" w:line="240" w:lineRule="auto"/>
        <w:jc w:val="both"/>
        <w:rPr>
          <w:b/>
          <w:szCs w:val="24"/>
        </w:rPr>
      </w:pPr>
      <w:r>
        <w:rPr>
          <w:b/>
          <w:szCs w:val="24"/>
        </w:rPr>
        <w:t>4.7</w:t>
      </w:r>
      <w:r w:rsidR="00CF46B4">
        <w:rPr>
          <w:b/>
          <w:szCs w:val="24"/>
        </w:rPr>
        <w:tab/>
      </w:r>
      <w:r w:rsidR="00CF46B4" w:rsidRPr="00AF4B68">
        <w:rPr>
          <w:b/>
          <w:szCs w:val="24"/>
        </w:rPr>
        <w:t xml:space="preserve">Revenue </w:t>
      </w:r>
      <w:r w:rsidR="00CF46B4">
        <w:rPr>
          <w:b/>
          <w:szCs w:val="24"/>
        </w:rPr>
        <w:t>Management</w:t>
      </w:r>
    </w:p>
    <w:p w:rsidR="00CF46B4" w:rsidRPr="00AF4B68" w:rsidRDefault="00CF46B4" w:rsidP="00CF46B4">
      <w:pPr>
        <w:spacing w:after="0" w:line="240" w:lineRule="auto"/>
        <w:jc w:val="both"/>
        <w:rPr>
          <w:b/>
          <w:szCs w:val="24"/>
        </w:rPr>
      </w:pPr>
    </w:p>
    <w:p w:rsidR="00CF46B4" w:rsidRPr="00634250" w:rsidRDefault="00CF46B4" w:rsidP="00CF46B4">
      <w:pPr>
        <w:autoSpaceDE w:val="0"/>
        <w:autoSpaceDN w:val="0"/>
        <w:adjustRightInd w:val="0"/>
        <w:spacing w:after="0" w:line="240" w:lineRule="auto"/>
        <w:jc w:val="both"/>
        <w:rPr>
          <w:szCs w:val="24"/>
        </w:rPr>
      </w:pPr>
      <w:r>
        <w:rPr>
          <w:szCs w:val="24"/>
        </w:rPr>
        <w:t xml:space="preserve">Government </w:t>
      </w:r>
      <w:r w:rsidR="00CF5CC4">
        <w:rPr>
          <w:szCs w:val="24"/>
        </w:rPr>
        <w:t>acquired 12.86A</w:t>
      </w:r>
      <w:r w:rsidRPr="00634250">
        <w:rPr>
          <w:szCs w:val="24"/>
        </w:rPr>
        <w:t xml:space="preserve"> of land at </w:t>
      </w:r>
      <w:proofErr w:type="spellStart"/>
      <w:r w:rsidRPr="00634250">
        <w:rPr>
          <w:szCs w:val="24"/>
        </w:rPr>
        <w:t>Reduit</w:t>
      </w:r>
      <w:proofErr w:type="spellEnd"/>
      <w:r w:rsidRPr="00634250">
        <w:rPr>
          <w:szCs w:val="24"/>
        </w:rPr>
        <w:t xml:space="preserve"> for an amount of Rs 6.4 million</w:t>
      </w:r>
      <w:r w:rsidRPr="00634250">
        <w:rPr>
          <w:color w:val="000000"/>
          <w:szCs w:val="24"/>
        </w:rPr>
        <w:t xml:space="preserve"> in 2006 for a high tech </w:t>
      </w:r>
      <w:r w:rsidR="00E43BEE">
        <w:rPr>
          <w:szCs w:val="24"/>
        </w:rPr>
        <w:t xml:space="preserve">National Children’s </w:t>
      </w:r>
      <w:r w:rsidRPr="00634250">
        <w:rPr>
          <w:szCs w:val="24"/>
        </w:rPr>
        <w:t xml:space="preserve">Hospital and Institute of Cardiology and Neurology. A letter of intent was issued in July 2006 to a private Hospital. </w:t>
      </w:r>
    </w:p>
    <w:p w:rsidR="00CF46B4" w:rsidRPr="00634250" w:rsidRDefault="00CF46B4" w:rsidP="00CF46B4">
      <w:pPr>
        <w:autoSpaceDE w:val="0"/>
        <w:autoSpaceDN w:val="0"/>
        <w:adjustRightInd w:val="0"/>
        <w:spacing w:after="0" w:line="240" w:lineRule="auto"/>
        <w:jc w:val="both"/>
        <w:rPr>
          <w:szCs w:val="24"/>
        </w:rPr>
      </w:pPr>
    </w:p>
    <w:p w:rsidR="00CF46B4" w:rsidRDefault="00CF46B4" w:rsidP="00CF46B4">
      <w:pPr>
        <w:autoSpaceDE w:val="0"/>
        <w:autoSpaceDN w:val="0"/>
        <w:adjustRightInd w:val="0"/>
        <w:spacing w:after="0" w:line="240" w:lineRule="auto"/>
        <w:jc w:val="both"/>
        <w:rPr>
          <w:bCs/>
          <w:szCs w:val="24"/>
        </w:rPr>
      </w:pPr>
      <w:r>
        <w:rPr>
          <w:szCs w:val="24"/>
        </w:rPr>
        <w:t>O</w:t>
      </w:r>
      <w:r w:rsidRPr="00634250">
        <w:rPr>
          <w:szCs w:val="24"/>
        </w:rPr>
        <w:t>n the assumption that the cost of infrastructural works is borne by the promoter</w:t>
      </w:r>
      <w:r>
        <w:rPr>
          <w:bCs/>
          <w:szCs w:val="24"/>
        </w:rPr>
        <w:t>,</w:t>
      </w:r>
      <w:r w:rsidR="00CF5CC4">
        <w:rPr>
          <w:bCs/>
          <w:szCs w:val="24"/>
        </w:rPr>
        <w:t xml:space="preserve"> </w:t>
      </w:r>
      <w:r>
        <w:rPr>
          <w:bCs/>
          <w:szCs w:val="24"/>
        </w:rPr>
        <w:t>t</w:t>
      </w:r>
      <w:r w:rsidRPr="00634250">
        <w:rPr>
          <w:szCs w:val="24"/>
        </w:rPr>
        <w:t>he annual rental was assessed by the Valuatio</w:t>
      </w:r>
      <w:r w:rsidR="00AF01D9">
        <w:rPr>
          <w:szCs w:val="24"/>
        </w:rPr>
        <w:t>n Department in August 2006, at</w:t>
      </w:r>
      <w:r w:rsidRPr="00634250">
        <w:rPr>
          <w:szCs w:val="24"/>
        </w:rPr>
        <w:t xml:space="preserve"> Rs 180,000 per </w:t>
      </w:r>
      <w:proofErr w:type="spellStart"/>
      <w:proofErr w:type="gramStart"/>
      <w:r w:rsidRPr="00634250">
        <w:rPr>
          <w:szCs w:val="24"/>
        </w:rPr>
        <w:t>arpent</w:t>
      </w:r>
      <w:proofErr w:type="spellEnd"/>
      <w:r>
        <w:rPr>
          <w:szCs w:val="24"/>
        </w:rPr>
        <w:t>, that</w:t>
      </w:r>
      <w:proofErr w:type="gramEnd"/>
      <w:r>
        <w:rPr>
          <w:szCs w:val="24"/>
        </w:rPr>
        <w:t xml:space="preserve"> is Rs 2,314,800 annually; otherwise, it will be t</w:t>
      </w:r>
      <w:r w:rsidRPr="00301D51">
        <w:rPr>
          <w:bCs/>
        </w:rPr>
        <w:t xml:space="preserve">he full annual rental of Rs 400,000 per </w:t>
      </w:r>
      <w:proofErr w:type="spellStart"/>
      <w:r w:rsidRPr="00301D51">
        <w:rPr>
          <w:bCs/>
        </w:rPr>
        <w:t>arpent</w:t>
      </w:r>
      <w:proofErr w:type="spellEnd"/>
      <w:r>
        <w:rPr>
          <w:bCs/>
        </w:rPr>
        <w:t xml:space="preserve"> or Rs 5,144,000 annually.</w:t>
      </w:r>
    </w:p>
    <w:p w:rsidR="00CF46B4" w:rsidRDefault="00CF46B4" w:rsidP="00CF46B4">
      <w:pPr>
        <w:autoSpaceDE w:val="0"/>
        <w:autoSpaceDN w:val="0"/>
        <w:adjustRightInd w:val="0"/>
        <w:spacing w:after="0" w:line="240" w:lineRule="auto"/>
        <w:jc w:val="both"/>
        <w:rPr>
          <w:bCs/>
          <w:szCs w:val="24"/>
        </w:rPr>
      </w:pPr>
    </w:p>
    <w:p w:rsidR="00CF46B4" w:rsidRDefault="00CF46B4" w:rsidP="00CF46B4">
      <w:pPr>
        <w:autoSpaceDE w:val="0"/>
        <w:autoSpaceDN w:val="0"/>
        <w:adjustRightInd w:val="0"/>
        <w:spacing w:after="0" w:line="240" w:lineRule="auto"/>
        <w:jc w:val="both"/>
        <w:rPr>
          <w:szCs w:val="24"/>
        </w:rPr>
      </w:pPr>
      <w:r>
        <w:rPr>
          <w:bCs/>
        </w:rPr>
        <w:t xml:space="preserve">I was informed that </w:t>
      </w:r>
      <w:r w:rsidRPr="00301D51">
        <w:rPr>
          <w:bCs/>
        </w:rPr>
        <w:t>Government</w:t>
      </w:r>
      <w:r w:rsidR="00AF01D9">
        <w:rPr>
          <w:bCs/>
        </w:rPr>
        <w:t>’s</w:t>
      </w:r>
      <w:r w:rsidRPr="00301D51">
        <w:rPr>
          <w:bCs/>
        </w:rPr>
        <w:t xml:space="preserve"> approval was obtained for the promoter to pay a nominal rental of Rs 100 per annum for th</w:t>
      </w:r>
      <w:r w:rsidR="00AF01D9">
        <w:rPr>
          <w:bCs/>
        </w:rPr>
        <w:t>e first 10</w:t>
      </w:r>
      <w:r w:rsidRPr="00301D51">
        <w:rPr>
          <w:bCs/>
        </w:rPr>
        <w:t xml:space="preserve"> years as from the date of </w:t>
      </w:r>
      <w:r w:rsidR="00AF01D9">
        <w:rPr>
          <w:bCs/>
        </w:rPr>
        <w:t xml:space="preserve">signature of the lease and </w:t>
      </w:r>
      <w:r w:rsidRPr="00301D51">
        <w:rPr>
          <w:bCs/>
        </w:rPr>
        <w:t>as from the 11</w:t>
      </w:r>
      <w:r w:rsidRPr="00301D51">
        <w:rPr>
          <w:bCs/>
          <w:vertAlign w:val="superscript"/>
        </w:rPr>
        <w:t>th</w:t>
      </w:r>
      <w:r w:rsidRPr="00301D51">
        <w:rPr>
          <w:bCs/>
        </w:rPr>
        <w:t xml:space="preserve"> year, </w:t>
      </w:r>
      <w:r>
        <w:rPr>
          <w:bCs/>
        </w:rPr>
        <w:t xml:space="preserve">the full rental of Rs 400,000 per </w:t>
      </w:r>
      <w:proofErr w:type="spellStart"/>
      <w:r>
        <w:rPr>
          <w:bCs/>
        </w:rPr>
        <w:t>Arpent</w:t>
      </w:r>
      <w:proofErr w:type="spellEnd"/>
      <w:r>
        <w:rPr>
          <w:bCs/>
        </w:rPr>
        <w:t xml:space="preserve"> as assessed by the Valuation Department. </w:t>
      </w:r>
      <w:r w:rsidRPr="0020327A">
        <w:rPr>
          <w:bCs/>
        </w:rPr>
        <w:t>The approval for payment of the nominal rental of Rs 100 per annum was extended for a p</w:t>
      </w:r>
      <w:r w:rsidR="00AF01D9">
        <w:rPr>
          <w:bCs/>
        </w:rPr>
        <w:t>eriod of 19 ½ years up to</w:t>
      </w:r>
      <w:r w:rsidRPr="0020327A">
        <w:rPr>
          <w:bCs/>
        </w:rPr>
        <w:t xml:space="preserve"> 30 June 2026.</w:t>
      </w:r>
      <w:r w:rsidR="005F6086">
        <w:rPr>
          <w:bCs/>
        </w:rPr>
        <w:t xml:space="preserve"> </w:t>
      </w:r>
      <w:r w:rsidRPr="00634250">
        <w:rPr>
          <w:szCs w:val="24"/>
        </w:rPr>
        <w:t>The lease agreement</w:t>
      </w:r>
      <w:r>
        <w:rPr>
          <w:szCs w:val="24"/>
        </w:rPr>
        <w:t xml:space="preserve"> was</w:t>
      </w:r>
      <w:r w:rsidRPr="00634250">
        <w:rPr>
          <w:szCs w:val="24"/>
        </w:rPr>
        <w:t xml:space="preserve"> signed in 2008</w:t>
      </w:r>
      <w:r>
        <w:rPr>
          <w:szCs w:val="24"/>
        </w:rPr>
        <w:t>.</w:t>
      </w:r>
      <w:r w:rsidRPr="00634250">
        <w:rPr>
          <w:szCs w:val="24"/>
        </w:rPr>
        <w:t xml:space="preserve"> </w:t>
      </w:r>
    </w:p>
    <w:p w:rsidR="00CF46B4" w:rsidRDefault="00CF46B4" w:rsidP="00CF46B4">
      <w:pPr>
        <w:autoSpaceDE w:val="0"/>
        <w:autoSpaceDN w:val="0"/>
        <w:adjustRightInd w:val="0"/>
        <w:spacing w:after="0" w:line="240" w:lineRule="auto"/>
        <w:jc w:val="both"/>
        <w:rPr>
          <w:szCs w:val="24"/>
        </w:rPr>
      </w:pPr>
    </w:p>
    <w:p w:rsidR="00CF46B4" w:rsidRPr="00634250" w:rsidRDefault="00CF46B4" w:rsidP="00CF46B4">
      <w:pPr>
        <w:autoSpaceDE w:val="0"/>
        <w:autoSpaceDN w:val="0"/>
        <w:adjustRightInd w:val="0"/>
        <w:spacing w:after="0" w:line="240" w:lineRule="auto"/>
        <w:jc w:val="both"/>
        <w:rPr>
          <w:szCs w:val="24"/>
        </w:rPr>
      </w:pPr>
      <w:r>
        <w:rPr>
          <w:szCs w:val="24"/>
        </w:rPr>
        <w:t>Article 18 of t</w:t>
      </w:r>
      <w:r w:rsidRPr="00634250">
        <w:rPr>
          <w:szCs w:val="24"/>
        </w:rPr>
        <w:t xml:space="preserve">he </w:t>
      </w:r>
      <w:r>
        <w:rPr>
          <w:szCs w:val="24"/>
        </w:rPr>
        <w:t>Lease A</w:t>
      </w:r>
      <w:r w:rsidRPr="00634250">
        <w:rPr>
          <w:szCs w:val="24"/>
        </w:rPr>
        <w:t xml:space="preserve">greement </w:t>
      </w:r>
      <w:r>
        <w:rPr>
          <w:szCs w:val="24"/>
        </w:rPr>
        <w:t>regarding ‘Change of Ownership/</w:t>
      </w:r>
      <w:r w:rsidRPr="000E5D8A">
        <w:rPr>
          <w:szCs w:val="24"/>
        </w:rPr>
        <w:t>Purpose of lease</w:t>
      </w:r>
      <w:r>
        <w:rPr>
          <w:szCs w:val="24"/>
        </w:rPr>
        <w:t xml:space="preserve">’ </w:t>
      </w:r>
      <w:r w:rsidRPr="00634250">
        <w:rPr>
          <w:szCs w:val="24"/>
        </w:rPr>
        <w:t>provides that in case of change of ownership, the agreement will be automatically cancelled.</w:t>
      </w:r>
    </w:p>
    <w:p w:rsidR="00CF46B4" w:rsidRPr="00634250" w:rsidRDefault="00CF46B4" w:rsidP="00CF46B4">
      <w:pPr>
        <w:autoSpaceDE w:val="0"/>
        <w:autoSpaceDN w:val="0"/>
        <w:adjustRightInd w:val="0"/>
        <w:spacing w:after="0" w:line="240" w:lineRule="auto"/>
        <w:jc w:val="both"/>
        <w:rPr>
          <w:bCs/>
          <w:szCs w:val="24"/>
        </w:rPr>
      </w:pPr>
    </w:p>
    <w:p w:rsidR="00CF46B4" w:rsidRDefault="00CF46B4" w:rsidP="00CF46B4">
      <w:pPr>
        <w:pStyle w:val="ListParagraph"/>
        <w:numPr>
          <w:ilvl w:val="0"/>
          <w:numId w:val="16"/>
        </w:numPr>
        <w:autoSpaceDE w:val="0"/>
        <w:autoSpaceDN w:val="0"/>
        <w:adjustRightInd w:val="0"/>
        <w:spacing w:after="0" w:line="240" w:lineRule="auto"/>
        <w:ind w:left="360"/>
        <w:jc w:val="both"/>
        <w:rPr>
          <w:szCs w:val="24"/>
        </w:rPr>
      </w:pPr>
      <w:r w:rsidRPr="00634250">
        <w:rPr>
          <w:szCs w:val="24"/>
        </w:rPr>
        <w:t xml:space="preserve">In </w:t>
      </w:r>
      <w:r>
        <w:rPr>
          <w:szCs w:val="24"/>
        </w:rPr>
        <w:t xml:space="preserve">January </w:t>
      </w:r>
      <w:r w:rsidRPr="00634250">
        <w:rPr>
          <w:szCs w:val="24"/>
        </w:rPr>
        <w:t xml:space="preserve">2017, there has been a </w:t>
      </w:r>
      <w:r w:rsidR="00AF01D9">
        <w:rPr>
          <w:szCs w:val="24"/>
        </w:rPr>
        <w:t xml:space="preserve">major </w:t>
      </w:r>
      <w:r w:rsidRPr="00634250">
        <w:rPr>
          <w:szCs w:val="24"/>
        </w:rPr>
        <w:t>change in the ownership and management of the hospital</w:t>
      </w:r>
      <w:r>
        <w:rPr>
          <w:szCs w:val="24"/>
        </w:rPr>
        <w:t xml:space="preserve"> following acquisition by a new company</w:t>
      </w:r>
      <w:r w:rsidRPr="00634250">
        <w:rPr>
          <w:szCs w:val="24"/>
        </w:rPr>
        <w:t>;</w:t>
      </w:r>
    </w:p>
    <w:p w:rsidR="00CF46B4" w:rsidRPr="00634250" w:rsidRDefault="00CF46B4" w:rsidP="00CF46B4">
      <w:pPr>
        <w:pStyle w:val="ListParagraph"/>
        <w:autoSpaceDE w:val="0"/>
        <w:autoSpaceDN w:val="0"/>
        <w:adjustRightInd w:val="0"/>
        <w:spacing w:after="0" w:line="240" w:lineRule="auto"/>
        <w:ind w:left="360"/>
        <w:jc w:val="both"/>
        <w:rPr>
          <w:szCs w:val="24"/>
        </w:rPr>
      </w:pPr>
    </w:p>
    <w:p w:rsidR="00CF46B4" w:rsidRPr="00634250" w:rsidRDefault="00CF46B4" w:rsidP="00CF46B4">
      <w:pPr>
        <w:pStyle w:val="ListParagraph"/>
        <w:numPr>
          <w:ilvl w:val="0"/>
          <w:numId w:val="16"/>
        </w:numPr>
        <w:autoSpaceDE w:val="0"/>
        <w:autoSpaceDN w:val="0"/>
        <w:adjustRightInd w:val="0"/>
        <w:spacing w:after="0" w:line="240" w:lineRule="auto"/>
        <w:ind w:left="360"/>
        <w:jc w:val="both"/>
        <w:rPr>
          <w:color w:val="000000"/>
          <w:szCs w:val="24"/>
        </w:rPr>
      </w:pPr>
      <w:r>
        <w:rPr>
          <w:szCs w:val="24"/>
        </w:rPr>
        <w:t>T</w:t>
      </w:r>
      <w:r w:rsidRPr="00634250">
        <w:rPr>
          <w:szCs w:val="24"/>
        </w:rPr>
        <w:t>he</w:t>
      </w:r>
      <w:r w:rsidRPr="00634250">
        <w:rPr>
          <w:color w:val="000000"/>
          <w:szCs w:val="24"/>
        </w:rPr>
        <w:t xml:space="preserve"> </w:t>
      </w:r>
      <w:r>
        <w:rPr>
          <w:color w:val="000000"/>
          <w:szCs w:val="24"/>
        </w:rPr>
        <w:t>financial statements</w:t>
      </w:r>
      <w:r w:rsidRPr="00634250">
        <w:rPr>
          <w:color w:val="000000"/>
          <w:szCs w:val="24"/>
        </w:rPr>
        <w:t xml:space="preserve"> of the </w:t>
      </w:r>
      <w:r>
        <w:rPr>
          <w:color w:val="000000"/>
          <w:szCs w:val="24"/>
        </w:rPr>
        <w:t>new company</w:t>
      </w:r>
      <w:r w:rsidRPr="00634250">
        <w:rPr>
          <w:szCs w:val="24"/>
        </w:rPr>
        <w:t xml:space="preserve"> showed freehold land</w:t>
      </w:r>
      <w:r>
        <w:rPr>
          <w:szCs w:val="24"/>
        </w:rPr>
        <w:t xml:space="preserve"> and turnover amounting to </w:t>
      </w:r>
      <w:r w:rsidRPr="00634250">
        <w:rPr>
          <w:szCs w:val="24"/>
        </w:rPr>
        <w:t>Rs 103.7 million</w:t>
      </w:r>
      <w:r>
        <w:rPr>
          <w:szCs w:val="24"/>
        </w:rPr>
        <w:t xml:space="preserve"> and Rs 1,216.4 million respectively, a</w:t>
      </w:r>
      <w:r w:rsidRPr="00634250">
        <w:rPr>
          <w:szCs w:val="24"/>
        </w:rPr>
        <w:t>s at 30 June 2017</w:t>
      </w:r>
      <w:r w:rsidRPr="00634250">
        <w:rPr>
          <w:color w:val="000000"/>
          <w:szCs w:val="24"/>
        </w:rPr>
        <w:t>.</w:t>
      </w:r>
    </w:p>
    <w:p w:rsidR="00CF46B4" w:rsidRPr="00634250" w:rsidRDefault="00CF46B4" w:rsidP="00CF46B4">
      <w:pPr>
        <w:autoSpaceDE w:val="0"/>
        <w:autoSpaceDN w:val="0"/>
        <w:adjustRightInd w:val="0"/>
        <w:spacing w:after="0" w:line="240" w:lineRule="auto"/>
        <w:jc w:val="both"/>
        <w:rPr>
          <w:color w:val="000000"/>
          <w:szCs w:val="24"/>
        </w:rPr>
      </w:pPr>
    </w:p>
    <w:p w:rsidR="00CF46B4" w:rsidRPr="00F8458B" w:rsidRDefault="00CF46B4" w:rsidP="00CF46B4">
      <w:pPr>
        <w:autoSpaceDE w:val="0"/>
        <w:autoSpaceDN w:val="0"/>
        <w:adjustRightInd w:val="0"/>
        <w:spacing w:after="0" w:line="240" w:lineRule="auto"/>
        <w:jc w:val="both"/>
        <w:rPr>
          <w:b/>
          <w:i/>
          <w:color w:val="000000"/>
          <w:szCs w:val="24"/>
        </w:rPr>
      </w:pPr>
      <w:r w:rsidRPr="00F8458B">
        <w:rPr>
          <w:b/>
          <w:i/>
          <w:color w:val="000000"/>
          <w:szCs w:val="24"/>
        </w:rPr>
        <w:t>Recommendation</w:t>
      </w:r>
    </w:p>
    <w:p w:rsidR="00CF46B4" w:rsidRPr="00301D51" w:rsidRDefault="00CF46B4" w:rsidP="00CF46B4">
      <w:pPr>
        <w:autoSpaceDE w:val="0"/>
        <w:autoSpaceDN w:val="0"/>
        <w:adjustRightInd w:val="0"/>
        <w:spacing w:after="0" w:line="240" w:lineRule="auto"/>
        <w:jc w:val="both"/>
        <w:rPr>
          <w:i/>
          <w:color w:val="000000"/>
          <w:szCs w:val="24"/>
        </w:rPr>
      </w:pPr>
    </w:p>
    <w:p w:rsidR="00CF46B4" w:rsidRDefault="00CF46B4" w:rsidP="00CF46B4">
      <w:pPr>
        <w:autoSpaceDE w:val="0"/>
        <w:autoSpaceDN w:val="0"/>
        <w:adjustRightInd w:val="0"/>
        <w:spacing w:after="0" w:line="240" w:lineRule="auto"/>
        <w:jc w:val="both"/>
        <w:rPr>
          <w:color w:val="000000"/>
          <w:szCs w:val="24"/>
        </w:rPr>
      </w:pPr>
      <w:r>
        <w:rPr>
          <w:color w:val="000000"/>
          <w:szCs w:val="24"/>
        </w:rPr>
        <w:t>T</w:t>
      </w:r>
      <w:r w:rsidRPr="00F0551B">
        <w:rPr>
          <w:color w:val="000000"/>
          <w:szCs w:val="24"/>
        </w:rPr>
        <w:t xml:space="preserve">he Ministry shall </w:t>
      </w:r>
      <w:r>
        <w:rPr>
          <w:color w:val="000000"/>
          <w:szCs w:val="24"/>
        </w:rPr>
        <w:t xml:space="preserve">seek legal advice on the validity of the lease agreement and </w:t>
      </w:r>
      <w:r w:rsidRPr="00F0551B">
        <w:rPr>
          <w:color w:val="000000"/>
          <w:szCs w:val="24"/>
        </w:rPr>
        <w:t>re-consider the rent</w:t>
      </w:r>
      <w:r>
        <w:rPr>
          <w:color w:val="000000"/>
          <w:szCs w:val="24"/>
        </w:rPr>
        <w:t>al to be charged</w:t>
      </w:r>
      <w:r w:rsidR="00372A02">
        <w:rPr>
          <w:color w:val="000000"/>
          <w:szCs w:val="24"/>
        </w:rPr>
        <w:t>.</w:t>
      </w:r>
    </w:p>
    <w:p w:rsidR="00372A02" w:rsidRDefault="00372A02" w:rsidP="00CF46B4">
      <w:pPr>
        <w:autoSpaceDE w:val="0"/>
        <w:autoSpaceDN w:val="0"/>
        <w:adjustRightInd w:val="0"/>
        <w:spacing w:after="0" w:line="240" w:lineRule="auto"/>
        <w:jc w:val="both"/>
        <w:rPr>
          <w:color w:val="000000"/>
          <w:szCs w:val="24"/>
        </w:rPr>
      </w:pPr>
    </w:p>
    <w:p w:rsidR="00372A02" w:rsidRDefault="00372A02">
      <w:pPr>
        <w:rPr>
          <w:b/>
          <w:i/>
          <w:color w:val="000000"/>
          <w:szCs w:val="24"/>
        </w:rPr>
      </w:pPr>
      <w:r>
        <w:rPr>
          <w:b/>
          <w:i/>
          <w:color w:val="000000"/>
          <w:szCs w:val="24"/>
        </w:rPr>
        <w:br w:type="page"/>
      </w:r>
    </w:p>
    <w:p w:rsidR="00372A02" w:rsidRDefault="00372A02" w:rsidP="00CF46B4">
      <w:pPr>
        <w:autoSpaceDE w:val="0"/>
        <w:autoSpaceDN w:val="0"/>
        <w:adjustRightInd w:val="0"/>
        <w:spacing w:after="0" w:line="240" w:lineRule="auto"/>
        <w:jc w:val="both"/>
        <w:rPr>
          <w:b/>
          <w:i/>
          <w:color w:val="000000"/>
          <w:szCs w:val="24"/>
        </w:rPr>
      </w:pPr>
      <w:r w:rsidRPr="00372A02">
        <w:rPr>
          <w:b/>
          <w:i/>
          <w:color w:val="000000"/>
          <w:szCs w:val="24"/>
        </w:rPr>
        <w:lastRenderedPageBreak/>
        <w:t>Ministry’s Reply</w:t>
      </w:r>
    </w:p>
    <w:p w:rsidR="00372A02" w:rsidRPr="00372A02" w:rsidRDefault="00372A02" w:rsidP="00372A02">
      <w:pPr>
        <w:spacing w:after="0" w:line="240" w:lineRule="auto"/>
        <w:jc w:val="both"/>
        <w:rPr>
          <w:rFonts w:eastAsiaTheme="minorHAnsi"/>
          <w:b/>
          <w:szCs w:val="24"/>
        </w:rPr>
      </w:pPr>
    </w:p>
    <w:p w:rsidR="00372A02" w:rsidRPr="00372A02" w:rsidRDefault="00372A02" w:rsidP="00AF01D9">
      <w:pPr>
        <w:spacing w:after="0" w:line="240" w:lineRule="auto"/>
        <w:contextualSpacing/>
        <w:jc w:val="both"/>
        <w:rPr>
          <w:szCs w:val="24"/>
        </w:rPr>
      </w:pPr>
      <w:r w:rsidRPr="00372A02">
        <w:rPr>
          <w:szCs w:val="24"/>
        </w:rPr>
        <w:t xml:space="preserve">The views of the </w:t>
      </w:r>
      <w:r w:rsidR="00AF01D9">
        <w:rPr>
          <w:szCs w:val="24"/>
        </w:rPr>
        <w:t>State Law Office (</w:t>
      </w:r>
      <w:r w:rsidRPr="00372A02">
        <w:rPr>
          <w:szCs w:val="24"/>
        </w:rPr>
        <w:t>SLO</w:t>
      </w:r>
      <w:r w:rsidR="00AF01D9">
        <w:rPr>
          <w:szCs w:val="24"/>
        </w:rPr>
        <w:t>)</w:t>
      </w:r>
      <w:r w:rsidRPr="00372A02">
        <w:rPr>
          <w:szCs w:val="24"/>
        </w:rPr>
        <w:t xml:space="preserve"> are being been sought in order to advise on any amendment to be made to the deed in the event the rental has to be reconsidered to take into consideration the turnover and asset values of the company.</w:t>
      </w:r>
    </w:p>
    <w:p w:rsidR="00372A02" w:rsidRDefault="00372A02" w:rsidP="00CF46B4">
      <w:pPr>
        <w:autoSpaceDE w:val="0"/>
        <w:autoSpaceDN w:val="0"/>
        <w:adjustRightInd w:val="0"/>
        <w:spacing w:after="0" w:line="240" w:lineRule="auto"/>
        <w:jc w:val="both"/>
        <w:rPr>
          <w:color w:val="000000"/>
          <w:szCs w:val="24"/>
        </w:rPr>
      </w:pPr>
    </w:p>
    <w:p w:rsidR="00927FDF" w:rsidRPr="00372A02" w:rsidRDefault="00927FDF" w:rsidP="00CF46B4">
      <w:pPr>
        <w:autoSpaceDE w:val="0"/>
        <w:autoSpaceDN w:val="0"/>
        <w:adjustRightInd w:val="0"/>
        <w:spacing w:after="0" w:line="240" w:lineRule="auto"/>
        <w:jc w:val="both"/>
        <w:rPr>
          <w:color w:val="000000"/>
          <w:szCs w:val="24"/>
        </w:rPr>
      </w:pPr>
    </w:p>
    <w:p w:rsidR="00CF46B4" w:rsidRDefault="008C084B" w:rsidP="00CF46B4">
      <w:pPr>
        <w:spacing w:after="0" w:line="240" w:lineRule="auto"/>
        <w:jc w:val="both"/>
        <w:rPr>
          <w:b/>
          <w:szCs w:val="24"/>
        </w:rPr>
      </w:pPr>
      <w:r>
        <w:rPr>
          <w:b/>
          <w:szCs w:val="24"/>
        </w:rPr>
        <w:t>4.8</w:t>
      </w:r>
      <w:r w:rsidR="00CF46B4">
        <w:rPr>
          <w:b/>
          <w:szCs w:val="24"/>
        </w:rPr>
        <w:tab/>
        <w:t>Debtors M</w:t>
      </w:r>
      <w:r w:rsidR="00CF46B4" w:rsidRPr="00AF4B68">
        <w:rPr>
          <w:b/>
          <w:szCs w:val="24"/>
        </w:rPr>
        <w:t>anagement</w:t>
      </w:r>
    </w:p>
    <w:p w:rsidR="00CF46B4" w:rsidRPr="00AF4B68" w:rsidRDefault="00CF46B4" w:rsidP="00CF46B4">
      <w:pPr>
        <w:spacing w:after="0" w:line="240" w:lineRule="auto"/>
        <w:jc w:val="both"/>
        <w:rPr>
          <w:b/>
          <w:szCs w:val="24"/>
        </w:rPr>
      </w:pPr>
    </w:p>
    <w:p w:rsidR="00CF46B4" w:rsidRDefault="00CF46B4" w:rsidP="00CF46B4">
      <w:pPr>
        <w:spacing w:after="0" w:line="240" w:lineRule="auto"/>
        <w:jc w:val="both"/>
        <w:rPr>
          <w:szCs w:val="24"/>
        </w:rPr>
      </w:pPr>
      <w:r w:rsidRPr="00AF4B68">
        <w:rPr>
          <w:szCs w:val="24"/>
        </w:rPr>
        <w:t>Debtors amounted to Rs 1,345.5 million as at 30 June 2017</w:t>
      </w:r>
      <w:r>
        <w:rPr>
          <w:szCs w:val="24"/>
        </w:rPr>
        <w:t>,</w:t>
      </w:r>
      <w:r w:rsidRPr="00AF4B68">
        <w:rPr>
          <w:szCs w:val="24"/>
        </w:rPr>
        <w:t xml:space="preserve"> as shown</w:t>
      </w:r>
      <w:r>
        <w:rPr>
          <w:szCs w:val="24"/>
        </w:rPr>
        <w:t xml:space="preserve"> in Table </w:t>
      </w:r>
      <w:r w:rsidR="008C084B">
        <w:rPr>
          <w:szCs w:val="24"/>
        </w:rPr>
        <w:t>4-</w:t>
      </w:r>
      <w:r>
        <w:rPr>
          <w:szCs w:val="24"/>
        </w:rPr>
        <w:t>5</w:t>
      </w:r>
      <w:r w:rsidRPr="00AF4B68">
        <w:rPr>
          <w:szCs w:val="24"/>
        </w:rPr>
        <w:t xml:space="preserve">. </w:t>
      </w:r>
    </w:p>
    <w:p w:rsidR="00CF46B4" w:rsidRDefault="00CF46B4" w:rsidP="00CF46B4">
      <w:pPr>
        <w:spacing w:after="0" w:line="240" w:lineRule="auto"/>
        <w:jc w:val="both"/>
        <w:rPr>
          <w:szCs w:val="24"/>
        </w:rPr>
      </w:pPr>
    </w:p>
    <w:p w:rsidR="00CF46B4" w:rsidRDefault="00CF46B4" w:rsidP="00CF46B4">
      <w:pPr>
        <w:spacing w:after="0" w:line="240" w:lineRule="auto"/>
        <w:jc w:val="center"/>
        <w:rPr>
          <w:i/>
          <w:szCs w:val="24"/>
        </w:rPr>
      </w:pPr>
      <w:r w:rsidRPr="00254EE6">
        <w:rPr>
          <w:i/>
          <w:szCs w:val="24"/>
        </w:rPr>
        <w:t xml:space="preserve">Table </w:t>
      </w:r>
      <w:bookmarkStart w:id="7" w:name="_Hlk507249050"/>
      <w:r w:rsidR="008C084B">
        <w:rPr>
          <w:i/>
          <w:szCs w:val="24"/>
        </w:rPr>
        <w:t>4-</w:t>
      </w:r>
      <w:proofErr w:type="gramStart"/>
      <w:r>
        <w:rPr>
          <w:i/>
          <w:szCs w:val="24"/>
        </w:rPr>
        <w:t>5</w:t>
      </w:r>
      <w:r w:rsidR="00E43BEE">
        <w:rPr>
          <w:i/>
          <w:szCs w:val="24"/>
        </w:rPr>
        <w:t xml:space="preserve"> </w:t>
      </w:r>
      <w:r w:rsidRPr="00254EE6">
        <w:rPr>
          <w:i/>
          <w:szCs w:val="24"/>
        </w:rPr>
        <w:t xml:space="preserve"> Age</w:t>
      </w:r>
      <w:proofErr w:type="gramEnd"/>
      <w:r w:rsidRPr="00254EE6">
        <w:rPr>
          <w:i/>
          <w:szCs w:val="24"/>
        </w:rPr>
        <w:t xml:space="preserve"> Analysis of Debtors </w:t>
      </w:r>
      <w:r w:rsidR="00BA46A4" w:rsidRPr="00254EE6">
        <w:rPr>
          <w:i/>
          <w:szCs w:val="24"/>
        </w:rPr>
        <w:t>for</w:t>
      </w:r>
      <w:r w:rsidR="00BA46A4">
        <w:rPr>
          <w:i/>
          <w:szCs w:val="24"/>
        </w:rPr>
        <w:t xml:space="preserve"> </w:t>
      </w:r>
      <w:r w:rsidRPr="00254EE6">
        <w:rPr>
          <w:i/>
          <w:szCs w:val="24"/>
        </w:rPr>
        <w:t>Land Lease</w:t>
      </w:r>
      <w:bookmarkEnd w:id="7"/>
    </w:p>
    <w:p w:rsidR="00F8458B" w:rsidRDefault="00F8458B" w:rsidP="00CF46B4">
      <w:pPr>
        <w:spacing w:after="0" w:line="240" w:lineRule="auto"/>
        <w:jc w:val="center"/>
        <w:rPr>
          <w:i/>
          <w:szCs w:val="24"/>
        </w:rPr>
      </w:pPr>
    </w:p>
    <w:p w:rsidR="00F8458B" w:rsidRDefault="00F8458B" w:rsidP="00F8458B">
      <w:pPr>
        <w:pBdr>
          <w:top w:val="single" w:sz="4" w:space="1" w:color="auto"/>
        </w:pBdr>
        <w:spacing w:after="0" w:line="240" w:lineRule="auto"/>
        <w:jc w:val="center"/>
        <w:rPr>
          <w:i/>
          <w:szCs w:val="24"/>
        </w:rPr>
      </w:pPr>
    </w:p>
    <w:tbl>
      <w:tblPr>
        <w:tblW w:w="8902" w:type="dxa"/>
        <w:jc w:val="center"/>
        <w:tblLook w:val="04A0" w:firstRow="1" w:lastRow="0" w:firstColumn="1" w:lastColumn="0" w:noHBand="0" w:noVBand="1"/>
      </w:tblPr>
      <w:tblGrid>
        <w:gridCol w:w="1543"/>
        <w:gridCol w:w="1513"/>
        <w:gridCol w:w="1550"/>
        <w:gridCol w:w="1441"/>
        <w:gridCol w:w="1426"/>
        <w:gridCol w:w="1429"/>
      </w:tblGrid>
      <w:tr w:rsidR="00CF46B4" w:rsidRPr="00AF4B68" w:rsidTr="000A26BA">
        <w:trPr>
          <w:trHeight w:val="20"/>
          <w:jc w:val="center"/>
        </w:trPr>
        <w:tc>
          <w:tcPr>
            <w:tcW w:w="1575" w:type="dxa"/>
            <w:tcMar>
              <w:bottom w:w="142" w:type="dxa"/>
            </w:tcMar>
          </w:tcPr>
          <w:p w:rsidR="00CF46B4" w:rsidRPr="00AF4B68" w:rsidRDefault="00CF46B4" w:rsidP="00F8458B">
            <w:pPr>
              <w:spacing w:after="0" w:line="240" w:lineRule="auto"/>
              <w:jc w:val="center"/>
              <w:rPr>
                <w:b/>
                <w:szCs w:val="24"/>
              </w:rPr>
            </w:pPr>
            <w:r w:rsidRPr="00AF4B68">
              <w:rPr>
                <w:b/>
                <w:szCs w:val="24"/>
              </w:rPr>
              <w:t>Fi</w:t>
            </w:r>
            <w:r>
              <w:rPr>
                <w:b/>
                <w:szCs w:val="24"/>
              </w:rPr>
              <w:t>nancial</w:t>
            </w:r>
            <w:r w:rsidRPr="00AF4B68">
              <w:rPr>
                <w:b/>
                <w:szCs w:val="24"/>
              </w:rPr>
              <w:t xml:space="preserve"> Year</w:t>
            </w:r>
          </w:p>
        </w:tc>
        <w:tc>
          <w:tcPr>
            <w:tcW w:w="1519" w:type="dxa"/>
            <w:tcMar>
              <w:bottom w:w="142" w:type="dxa"/>
            </w:tcMar>
          </w:tcPr>
          <w:p w:rsidR="00F8458B" w:rsidRDefault="00CF46B4" w:rsidP="00F8458B">
            <w:pPr>
              <w:spacing w:after="0" w:line="240" w:lineRule="auto"/>
              <w:jc w:val="center"/>
              <w:rPr>
                <w:b/>
                <w:szCs w:val="24"/>
              </w:rPr>
            </w:pPr>
            <w:proofErr w:type="spellStart"/>
            <w:r w:rsidRPr="00AF4B68">
              <w:rPr>
                <w:b/>
                <w:szCs w:val="24"/>
              </w:rPr>
              <w:t>Campement</w:t>
            </w:r>
            <w:proofErr w:type="spellEnd"/>
            <w:r w:rsidRPr="00AF4B68">
              <w:rPr>
                <w:b/>
                <w:szCs w:val="24"/>
              </w:rPr>
              <w:t xml:space="preserve"> Rental </w:t>
            </w:r>
          </w:p>
          <w:p w:rsidR="00CF46B4" w:rsidRPr="00AF4B68" w:rsidRDefault="005F6086" w:rsidP="00F8458B">
            <w:pPr>
              <w:spacing w:after="0" w:line="240" w:lineRule="auto"/>
              <w:jc w:val="center"/>
              <w:rPr>
                <w:b/>
                <w:szCs w:val="24"/>
              </w:rPr>
            </w:pPr>
            <w:r>
              <w:rPr>
                <w:b/>
                <w:szCs w:val="24"/>
              </w:rPr>
              <w:t>(</w:t>
            </w:r>
            <w:r w:rsidRPr="00AF4B68">
              <w:rPr>
                <w:b/>
                <w:szCs w:val="24"/>
              </w:rPr>
              <w:t xml:space="preserve">Rs </w:t>
            </w:r>
            <w:r w:rsidR="00AF01D9">
              <w:rPr>
                <w:b/>
                <w:szCs w:val="24"/>
              </w:rPr>
              <w:t>m</w:t>
            </w:r>
            <w:r>
              <w:rPr>
                <w:b/>
                <w:szCs w:val="24"/>
              </w:rPr>
              <w:t>)</w:t>
            </w:r>
          </w:p>
        </w:tc>
        <w:tc>
          <w:tcPr>
            <w:tcW w:w="1562" w:type="dxa"/>
            <w:tcMar>
              <w:bottom w:w="142" w:type="dxa"/>
            </w:tcMar>
          </w:tcPr>
          <w:p w:rsidR="00CF46B4" w:rsidRPr="00AF4B68" w:rsidRDefault="00CF46B4" w:rsidP="005F6086">
            <w:pPr>
              <w:spacing w:after="0" w:line="240" w:lineRule="auto"/>
              <w:jc w:val="center"/>
              <w:rPr>
                <w:b/>
                <w:szCs w:val="24"/>
              </w:rPr>
            </w:pPr>
            <w:proofErr w:type="spellStart"/>
            <w:r w:rsidRPr="00AF4B68">
              <w:rPr>
                <w:b/>
                <w:szCs w:val="24"/>
              </w:rPr>
              <w:t>Campement</w:t>
            </w:r>
            <w:proofErr w:type="spellEnd"/>
            <w:r w:rsidRPr="00AF4B68">
              <w:rPr>
                <w:b/>
                <w:szCs w:val="24"/>
              </w:rPr>
              <w:t xml:space="preserve"> Premium</w:t>
            </w:r>
            <w:r w:rsidR="00E43BEE">
              <w:rPr>
                <w:b/>
                <w:szCs w:val="24"/>
              </w:rPr>
              <w:t xml:space="preserve"> </w:t>
            </w:r>
            <w:r w:rsidR="005F6086">
              <w:rPr>
                <w:b/>
                <w:szCs w:val="24"/>
              </w:rPr>
              <w:t>(</w:t>
            </w:r>
            <w:r w:rsidR="005F6086" w:rsidRPr="00AF4B68">
              <w:rPr>
                <w:b/>
                <w:szCs w:val="24"/>
              </w:rPr>
              <w:t xml:space="preserve">Rs </w:t>
            </w:r>
            <w:r w:rsidR="00AF01D9">
              <w:rPr>
                <w:b/>
                <w:szCs w:val="24"/>
              </w:rPr>
              <w:t>m</w:t>
            </w:r>
            <w:r w:rsidR="005F6086">
              <w:rPr>
                <w:b/>
                <w:szCs w:val="24"/>
              </w:rPr>
              <w:t>)</w:t>
            </w:r>
          </w:p>
        </w:tc>
        <w:tc>
          <w:tcPr>
            <w:tcW w:w="1476" w:type="dxa"/>
            <w:tcMar>
              <w:bottom w:w="142" w:type="dxa"/>
            </w:tcMar>
          </w:tcPr>
          <w:p w:rsidR="00F8458B" w:rsidRDefault="00CF46B4" w:rsidP="00F8458B">
            <w:pPr>
              <w:spacing w:after="0" w:line="240" w:lineRule="auto"/>
              <w:jc w:val="center"/>
              <w:rPr>
                <w:b/>
                <w:szCs w:val="24"/>
              </w:rPr>
            </w:pPr>
            <w:r w:rsidRPr="00AF4B68">
              <w:rPr>
                <w:b/>
                <w:szCs w:val="24"/>
              </w:rPr>
              <w:t>Other land Lease</w:t>
            </w:r>
          </w:p>
          <w:p w:rsidR="00CF46B4" w:rsidRPr="00AF4B68" w:rsidRDefault="00AF01D9" w:rsidP="00F8458B">
            <w:pPr>
              <w:spacing w:after="0" w:line="240" w:lineRule="auto"/>
              <w:jc w:val="center"/>
              <w:rPr>
                <w:b/>
                <w:szCs w:val="24"/>
              </w:rPr>
            </w:pPr>
            <w:r>
              <w:rPr>
                <w:b/>
                <w:szCs w:val="24"/>
              </w:rPr>
              <w:t>(Rs m</w:t>
            </w:r>
            <w:r w:rsidR="005F6086" w:rsidRPr="005F6086">
              <w:rPr>
                <w:b/>
                <w:szCs w:val="24"/>
              </w:rPr>
              <w:t>)</w:t>
            </w:r>
          </w:p>
        </w:tc>
        <w:tc>
          <w:tcPr>
            <w:tcW w:w="1473" w:type="dxa"/>
            <w:tcMar>
              <w:bottom w:w="142" w:type="dxa"/>
            </w:tcMar>
          </w:tcPr>
          <w:p w:rsidR="00F8458B" w:rsidRDefault="00CF46B4" w:rsidP="00F8458B">
            <w:pPr>
              <w:spacing w:after="0" w:line="240" w:lineRule="auto"/>
              <w:jc w:val="center"/>
              <w:rPr>
                <w:b/>
                <w:szCs w:val="24"/>
              </w:rPr>
            </w:pPr>
            <w:r w:rsidRPr="00AF4B68">
              <w:rPr>
                <w:b/>
                <w:szCs w:val="24"/>
              </w:rPr>
              <w:t>Ex-CHA</w:t>
            </w:r>
            <w:r w:rsidR="00E43BEE">
              <w:rPr>
                <w:b/>
                <w:szCs w:val="24"/>
              </w:rPr>
              <w:t xml:space="preserve"> </w:t>
            </w:r>
          </w:p>
          <w:p w:rsidR="00F8458B" w:rsidRDefault="00F8458B" w:rsidP="00F8458B">
            <w:pPr>
              <w:spacing w:after="0" w:line="240" w:lineRule="auto"/>
              <w:jc w:val="center"/>
              <w:rPr>
                <w:b/>
                <w:szCs w:val="24"/>
              </w:rPr>
            </w:pPr>
          </w:p>
          <w:p w:rsidR="00CF46B4" w:rsidRPr="00AF4B68" w:rsidRDefault="00AF01D9" w:rsidP="00F8458B">
            <w:pPr>
              <w:spacing w:after="0" w:line="240" w:lineRule="auto"/>
              <w:jc w:val="center"/>
              <w:rPr>
                <w:b/>
                <w:szCs w:val="24"/>
              </w:rPr>
            </w:pPr>
            <w:r>
              <w:rPr>
                <w:b/>
                <w:szCs w:val="24"/>
              </w:rPr>
              <w:t>(Rs m</w:t>
            </w:r>
            <w:r w:rsidR="005F6086" w:rsidRPr="005F6086">
              <w:rPr>
                <w:b/>
                <w:szCs w:val="24"/>
              </w:rPr>
              <w:t>)</w:t>
            </w:r>
          </w:p>
        </w:tc>
        <w:tc>
          <w:tcPr>
            <w:tcW w:w="1446" w:type="dxa"/>
            <w:tcMar>
              <w:bottom w:w="142" w:type="dxa"/>
            </w:tcMar>
          </w:tcPr>
          <w:p w:rsidR="00F8458B" w:rsidRDefault="00CF46B4" w:rsidP="00F8458B">
            <w:pPr>
              <w:spacing w:after="0" w:line="240" w:lineRule="auto"/>
              <w:jc w:val="center"/>
              <w:rPr>
                <w:b/>
                <w:szCs w:val="24"/>
              </w:rPr>
            </w:pPr>
            <w:r w:rsidRPr="00AF4B68">
              <w:rPr>
                <w:b/>
                <w:szCs w:val="24"/>
              </w:rPr>
              <w:t>Total</w:t>
            </w:r>
            <w:r w:rsidR="00E43BEE">
              <w:rPr>
                <w:b/>
                <w:szCs w:val="24"/>
              </w:rPr>
              <w:t xml:space="preserve"> </w:t>
            </w:r>
          </w:p>
          <w:p w:rsidR="00F8458B" w:rsidRDefault="00F8458B" w:rsidP="00F8458B">
            <w:pPr>
              <w:spacing w:after="0" w:line="240" w:lineRule="auto"/>
              <w:jc w:val="center"/>
              <w:rPr>
                <w:b/>
                <w:szCs w:val="24"/>
              </w:rPr>
            </w:pPr>
          </w:p>
          <w:p w:rsidR="00CF46B4" w:rsidRPr="00AF4B68" w:rsidRDefault="00AF01D9" w:rsidP="00F8458B">
            <w:pPr>
              <w:spacing w:after="0" w:line="240" w:lineRule="auto"/>
              <w:jc w:val="center"/>
              <w:rPr>
                <w:b/>
                <w:szCs w:val="24"/>
              </w:rPr>
            </w:pPr>
            <w:r>
              <w:rPr>
                <w:b/>
                <w:szCs w:val="24"/>
              </w:rPr>
              <w:t>(Rs m</w:t>
            </w:r>
            <w:r w:rsidR="005F6086" w:rsidRPr="005F6086">
              <w:rPr>
                <w:b/>
                <w:szCs w:val="24"/>
              </w:rPr>
              <w:t>)</w:t>
            </w:r>
          </w:p>
        </w:tc>
      </w:tr>
      <w:tr w:rsidR="00CF46B4" w:rsidRPr="00AF4B68" w:rsidTr="000A26BA">
        <w:trPr>
          <w:trHeight w:val="20"/>
          <w:jc w:val="center"/>
        </w:trPr>
        <w:tc>
          <w:tcPr>
            <w:tcW w:w="1575" w:type="dxa"/>
            <w:tcMar>
              <w:bottom w:w="142" w:type="dxa"/>
            </w:tcMar>
          </w:tcPr>
          <w:p w:rsidR="00CF46B4" w:rsidRPr="00AF4B68" w:rsidRDefault="00CF46B4" w:rsidP="008C084B">
            <w:pPr>
              <w:spacing w:before="40" w:after="40" w:line="240" w:lineRule="auto"/>
              <w:jc w:val="both"/>
              <w:rPr>
                <w:szCs w:val="24"/>
              </w:rPr>
            </w:pPr>
            <w:r w:rsidRPr="00AF4B68">
              <w:rPr>
                <w:szCs w:val="24"/>
              </w:rPr>
              <w:t>2012-13</w:t>
            </w:r>
          </w:p>
        </w:tc>
        <w:tc>
          <w:tcPr>
            <w:tcW w:w="1519" w:type="dxa"/>
            <w:tcMar>
              <w:bottom w:w="142" w:type="dxa"/>
            </w:tcMar>
          </w:tcPr>
          <w:p w:rsidR="00CF46B4" w:rsidRPr="00AF4B68" w:rsidRDefault="00CF46B4" w:rsidP="008C084B">
            <w:pPr>
              <w:spacing w:before="40" w:after="40" w:line="240" w:lineRule="auto"/>
              <w:ind w:right="481"/>
              <w:jc w:val="right"/>
              <w:rPr>
                <w:color w:val="000000"/>
                <w:szCs w:val="24"/>
              </w:rPr>
            </w:pPr>
            <w:r w:rsidRPr="00AF4B68">
              <w:rPr>
                <w:color w:val="000000"/>
                <w:szCs w:val="24"/>
              </w:rPr>
              <w:t>7.8</w:t>
            </w:r>
          </w:p>
        </w:tc>
        <w:tc>
          <w:tcPr>
            <w:tcW w:w="1562" w:type="dxa"/>
            <w:tcMar>
              <w:bottom w:w="142" w:type="dxa"/>
            </w:tcMar>
          </w:tcPr>
          <w:p w:rsidR="00CF46B4" w:rsidRPr="00AF4B68" w:rsidRDefault="00CF46B4" w:rsidP="008C084B">
            <w:pPr>
              <w:spacing w:before="40" w:after="40" w:line="240" w:lineRule="auto"/>
              <w:ind w:right="449"/>
              <w:jc w:val="right"/>
              <w:rPr>
                <w:szCs w:val="24"/>
              </w:rPr>
            </w:pPr>
            <w:r w:rsidRPr="00AF4B68">
              <w:rPr>
                <w:szCs w:val="24"/>
              </w:rPr>
              <w:t>21.8</w:t>
            </w:r>
          </w:p>
        </w:tc>
        <w:tc>
          <w:tcPr>
            <w:tcW w:w="1476" w:type="dxa"/>
            <w:tcMar>
              <w:bottom w:w="142" w:type="dxa"/>
            </w:tcMar>
          </w:tcPr>
          <w:p w:rsidR="00CF46B4" w:rsidRPr="00AF4B68" w:rsidRDefault="00CF46B4" w:rsidP="008C084B">
            <w:pPr>
              <w:tabs>
                <w:tab w:val="left" w:pos="1045"/>
              </w:tabs>
              <w:spacing w:before="40" w:after="40" w:line="240" w:lineRule="auto"/>
              <w:ind w:right="265"/>
              <w:jc w:val="right"/>
              <w:rPr>
                <w:color w:val="000000"/>
                <w:szCs w:val="24"/>
              </w:rPr>
            </w:pPr>
            <w:r w:rsidRPr="00AF4B68">
              <w:rPr>
                <w:color w:val="000000"/>
                <w:szCs w:val="24"/>
              </w:rPr>
              <w:t>248.9</w:t>
            </w:r>
          </w:p>
        </w:tc>
        <w:tc>
          <w:tcPr>
            <w:tcW w:w="1473" w:type="dxa"/>
            <w:tcMar>
              <w:bottom w:w="142" w:type="dxa"/>
            </w:tcMar>
          </w:tcPr>
          <w:p w:rsidR="00CF46B4" w:rsidRPr="00AF4B68" w:rsidRDefault="00CF46B4" w:rsidP="008C084B">
            <w:pPr>
              <w:spacing w:before="40" w:after="40" w:line="240" w:lineRule="auto"/>
              <w:ind w:right="469"/>
              <w:jc w:val="right"/>
              <w:rPr>
                <w:szCs w:val="24"/>
              </w:rPr>
            </w:pPr>
            <w:r w:rsidRPr="00AF4B68">
              <w:rPr>
                <w:szCs w:val="24"/>
              </w:rPr>
              <w:t>9.9</w:t>
            </w:r>
          </w:p>
        </w:tc>
        <w:tc>
          <w:tcPr>
            <w:tcW w:w="1446" w:type="dxa"/>
            <w:tcMar>
              <w:bottom w:w="142" w:type="dxa"/>
            </w:tcMar>
          </w:tcPr>
          <w:p w:rsidR="00CF46B4" w:rsidRPr="00AF4B68" w:rsidRDefault="00CF46B4" w:rsidP="008C084B">
            <w:pPr>
              <w:tabs>
                <w:tab w:val="left" w:pos="1025"/>
              </w:tabs>
              <w:spacing w:before="40" w:after="40" w:line="240" w:lineRule="auto"/>
              <w:ind w:right="375"/>
              <w:jc w:val="right"/>
              <w:rPr>
                <w:szCs w:val="24"/>
              </w:rPr>
            </w:pPr>
            <w:r w:rsidRPr="00AF4B68">
              <w:rPr>
                <w:szCs w:val="24"/>
              </w:rPr>
              <w:t>288.4</w:t>
            </w:r>
          </w:p>
        </w:tc>
      </w:tr>
      <w:tr w:rsidR="00CF46B4" w:rsidRPr="00AF4B68" w:rsidTr="000A26BA">
        <w:trPr>
          <w:trHeight w:val="20"/>
          <w:jc w:val="center"/>
        </w:trPr>
        <w:tc>
          <w:tcPr>
            <w:tcW w:w="1575" w:type="dxa"/>
            <w:tcMar>
              <w:bottom w:w="142" w:type="dxa"/>
            </w:tcMar>
          </w:tcPr>
          <w:p w:rsidR="00CF46B4" w:rsidRPr="00AF4B68" w:rsidRDefault="00CF46B4" w:rsidP="008C084B">
            <w:pPr>
              <w:spacing w:before="40" w:after="40" w:line="240" w:lineRule="auto"/>
              <w:jc w:val="both"/>
              <w:rPr>
                <w:szCs w:val="24"/>
              </w:rPr>
            </w:pPr>
            <w:r w:rsidRPr="00AF4B68">
              <w:rPr>
                <w:szCs w:val="24"/>
              </w:rPr>
              <w:t>2013-14</w:t>
            </w:r>
          </w:p>
        </w:tc>
        <w:tc>
          <w:tcPr>
            <w:tcW w:w="1519" w:type="dxa"/>
            <w:tcMar>
              <w:bottom w:w="142" w:type="dxa"/>
            </w:tcMar>
          </w:tcPr>
          <w:p w:rsidR="00CF46B4" w:rsidRPr="00AF4B68" w:rsidRDefault="00CF46B4" w:rsidP="008C084B">
            <w:pPr>
              <w:spacing w:before="40" w:after="40" w:line="240" w:lineRule="auto"/>
              <w:ind w:right="481"/>
              <w:jc w:val="right"/>
              <w:rPr>
                <w:szCs w:val="24"/>
              </w:rPr>
            </w:pPr>
            <w:r w:rsidRPr="00AF4B68">
              <w:rPr>
                <w:szCs w:val="24"/>
              </w:rPr>
              <w:t>2.8</w:t>
            </w:r>
          </w:p>
        </w:tc>
        <w:tc>
          <w:tcPr>
            <w:tcW w:w="1562" w:type="dxa"/>
            <w:tcMar>
              <w:bottom w:w="142" w:type="dxa"/>
            </w:tcMar>
          </w:tcPr>
          <w:p w:rsidR="00CF46B4" w:rsidRPr="00AF4B68" w:rsidRDefault="00CF46B4" w:rsidP="008C084B">
            <w:pPr>
              <w:spacing w:before="40" w:after="40" w:line="240" w:lineRule="auto"/>
              <w:ind w:right="449"/>
              <w:jc w:val="right"/>
              <w:rPr>
                <w:szCs w:val="24"/>
              </w:rPr>
            </w:pPr>
            <w:r w:rsidRPr="00AF4B68">
              <w:rPr>
                <w:szCs w:val="24"/>
              </w:rPr>
              <w:t>8.5</w:t>
            </w:r>
          </w:p>
        </w:tc>
        <w:tc>
          <w:tcPr>
            <w:tcW w:w="1476" w:type="dxa"/>
            <w:tcMar>
              <w:bottom w:w="142" w:type="dxa"/>
            </w:tcMar>
          </w:tcPr>
          <w:p w:rsidR="00CF46B4" w:rsidRPr="00AF4B68" w:rsidRDefault="00CF46B4" w:rsidP="008C084B">
            <w:pPr>
              <w:tabs>
                <w:tab w:val="left" w:pos="1045"/>
              </w:tabs>
              <w:spacing w:before="40" w:after="40" w:line="240" w:lineRule="auto"/>
              <w:ind w:right="265"/>
              <w:jc w:val="right"/>
              <w:rPr>
                <w:szCs w:val="24"/>
              </w:rPr>
            </w:pPr>
            <w:r w:rsidRPr="00AF4B68">
              <w:rPr>
                <w:szCs w:val="24"/>
              </w:rPr>
              <w:t>109.2</w:t>
            </w:r>
          </w:p>
        </w:tc>
        <w:tc>
          <w:tcPr>
            <w:tcW w:w="1473" w:type="dxa"/>
            <w:tcMar>
              <w:bottom w:w="142" w:type="dxa"/>
            </w:tcMar>
          </w:tcPr>
          <w:p w:rsidR="00CF46B4" w:rsidRPr="00AF4B68" w:rsidRDefault="00CF46B4" w:rsidP="008C084B">
            <w:pPr>
              <w:spacing w:before="40" w:after="40" w:line="240" w:lineRule="auto"/>
              <w:ind w:right="469"/>
              <w:jc w:val="right"/>
              <w:rPr>
                <w:szCs w:val="24"/>
              </w:rPr>
            </w:pPr>
            <w:r w:rsidRPr="00AF4B68">
              <w:rPr>
                <w:szCs w:val="24"/>
              </w:rPr>
              <w:t>1.2</w:t>
            </w:r>
          </w:p>
        </w:tc>
        <w:tc>
          <w:tcPr>
            <w:tcW w:w="1446" w:type="dxa"/>
            <w:tcMar>
              <w:bottom w:w="142" w:type="dxa"/>
            </w:tcMar>
          </w:tcPr>
          <w:p w:rsidR="00CF46B4" w:rsidRPr="00AF4B68" w:rsidRDefault="00CF46B4" w:rsidP="008C084B">
            <w:pPr>
              <w:tabs>
                <w:tab w:val="left" w:pos="1025"/>
              </w:tabs>
              <w:spacing w:before="40" w:after="40" w:line="240" w:lineRule="auto"/>
              <w:ind w:right="375"/>
              <w:jc w:val="right"/>
              <w:rPr>
                <w:szCs w:val="24"/>
              </w:rPr>
            </w:pPr>
            <w:r w:rsidRPr="00AF4B68">
              <w:rPr>
                <w:szCs w:val="24"/>
              </w:rPr>
              <w:t>121.7</w:t>
            </w:r>
          </w:p>
        </w:tc>
      </w:tr>
      <w:tr w:rsidR="00CF46B4" w:rsidRPr="00AF4B68" w:rsidTr="000A26BA">
        <w:trPr>
          <w:trHeight w:val="20"/>
          <w:jc w:val="center"/>
        </w:trPr>
        <w:tc>
          <w:tcPr>
            <w:tcW w:w="1575" w:type="dxa"/>
            <w:tcMar>
              <w:bottom w:w="142" w:type="dxa"/>
            </w:tcMar>
          </w:tcPr>
          <w:p w:rsidR="00CF46B4" w:rsidRPr="00AF4B68" w:rsidRDefault="00CF46B4" w:rsidP="008C084B">
            <w:pPr>
              <w:spacing w:before="40" w:after="40" w:line="240" w:lineRule="auto"/>
              <w:jc w:val="both"/>
              <w:rPr>
                <w:szCs w:val="24"/>
              </w:rPr>
            </w:pPr>
            <w:r w:rsidRPr="00AF4B68">
              <w:rPr>
                <w:szCs w:val="24"/>
              </w:rPr>
              <w:t>2014-15</w:t>
            </w:r>
          </w:p>
        </w:tc>
        <w:tc>
          <w:tcPr>
            <w:tcW w:w="1519" w:type="dxa"/>
            <w:tcMar>
              <w:bottom w:w="142" w:type="dxa"/>
            </w:tcMar>
          </w:tcPr>
          <w:p w:rsidR="00CF46B4" w:rsidRPr="00AF4B68" w:rsidRDefault="00CF46B4" w:rsidP="008C084B">
            <w:pPr>
              <w:spacing w:before="40" w:after="40" w:line="240" w:lineRule="auto"/>
              <w:ind w:right="481"/>
              <w:jc w:val="right"/>
              <w:rPr>
                <w:color w:val="000000"/>
                <w:szCs w:val="24"/>
              </w:rPr>
            </w:pPr>
            <w:r w:rsidRPr="00AF4B68">
              <w:rPr>
                <w:color w:val="000000"/>
                <w:szCs w:val="24"/>
              </w:rPr>
              <w:t>3.5</w:t>
            </w:r>
          </w:p>
        </w:tc>
        <w:tc>
          <w:tcPr>
            <w:tcW w:w="1562" w:type="dxa"/>
            <w:tcMar>
              <w:bottom w:w="142" w:type="dxa"/>
            </w:tcMar>
          </w:tcPr>
          <w:p w:rsidR="00CF46B4" w:rsidRPr="00AF4B68" w:rsidRDefault="00CF46B4" w:rsidP="008C084B">
            <w:pPr>
              <w:spacing w:before="40" w:after="40" w:line="240" w:lineRule="auto"/>
              <w:ind w:right="449"/>
              <w:jc w:val="right"/>
              <w:rPr>
                <w:szCs w:val="24"/>
              </w:rPr>
            </w:pPr>
            <w:r w:rsidRPr="00AF4B68">
              <w:rPr>
                <w:szCs w:val="24"/>
              </w:rPr>
              <w:t>8.2</w:t>
            </w:r>
          </w:p>
        </w:tc>
        <w:tc>
          <w:tcPr>
            <w:tcW w:w="1476" w:type="dxa"/>
            <w:tcMar>
              <w:bottom w:w="142" w:type="dxa"/>
            </w:tcMar>
          </w:tcPr>
          <w:p w:rsidR="00CF46B4" w:rsidRPr="00AF4B68" w:rsidRDefault="00CF46B4" w:rsidP="008C084B">
            <w:pPr>
              <w:tabs>
                <w:tab w:val="left" w:pos="1045"/>
              </w:tabs>
              <w:spacing w:before="40" w:after="40" w:line="240" w:lineRule="auto"/>
              <w:ind w:right="265"/>
              <w:jc w:val="right"/>
              <w:rPr>
                <w:color w:val="000000"/>
                <w:szCs w:val="24"/>
              </w:rPr>
            </w:pPr>
            <w:r w:rsidRPr="00AF4B68">
              <w:rPr>
                <w:color w:val="000000"/>
                <w:szCs w:val="24"/>
              </w:rPr>
              <w:t>123.7</w:t>
            </w:r>
          </w:p>
        </w:tc>
        <w:tc>
          <w:tcPr>
            <w:tcW w:w="1473" w:type="dxa"/>
            <w:tcMar>
              <w:bottom w:w="142" w:type="dxa"/>
            </w:tcMar>
          </w:tcPr>
          <w:p w:rsidR="00CF46B4" w:rsidRPr="00AF4B68" w:rsidRDefault="00CF46B4" w:rsidP="008C084B">
            <w:pPr>
              <w:spacing w:before="40" w:after="40" w:line="240" w:lineRule="auto"/>
              <w:ind w:right="469"/>
              <w:jc w:val="right"/>
              <w:rPr>
                <w:szCs w:val="24"/>
              </w:rPr>
            </w:pPr>
            <w:r w:rsidRPr="00AF4B68">
              <w:rPr>
                <w:szCs w:val="24"/>
              </w:rPr>
              <w:t>1.1</w:t>
            </w:r>
          </w:p>
        </w:tc>
        <w:tc>
          <w:tcPr>
            <w:tcW w:w="1446" w:type="dxa"/>
            <w:tcMar>
              <w:bottom w:w="142" w:type="dxa"/>
            </w:tcMar>
          </w:tcPr>
          <w:p w:rsidR="00CF46B4" w:rsidRPr="00AF4B68" w:rsidRDefault="00CF46B4" w:rsidP="008C084B">
            <w:pPr>
              <w:tabs>
                <w:tab w:val="left" w:pos="1025"/>
              </w:tabs>
              <w:spacing w:before="40" w:after="40" w:line="240" w:lineRule="auto"/>
              <w:ind w:right="375"/>
              <w:jc w:val="right"/>
              <w:rPr>
                <w:szCs w:val="24"/>
              </w:rPr>
            </w:pPr>
            <w:r w:rsidRPr="00AF4B68">
              <w:rPr>
                <w:szCs w:val="24"/>
              </w:rPr>
              <w:t>136.5</w:t>
            </w:r>
          </w:p>
        </w:tc>
      </w:tr>
      <w:tr w:rsidR="00CF46B4" w:rsidRPr="00AF4B68" w:rsidTr="000A26BA">
        <w:trPr>
          <w:trHeight w:val="20"/>
          <w:jc w:val="center"/>
        </w:trPr>
        <w:tc>
          <w:tcPr>
            <w:tcW w:w="1575" w:type="dxa"/>
            <w:tcMar>
              <w:bottom w:w="142" w:type="dxa"/>
            </w:tcMar>
          </w:tcPr>
          <w:p w:rsidR="00CF46B4" w:rsidRPr="00AF4B68" w:rsidRDefault="00CF46B4" w:rsidP="008C084B">
            <w:pPr>
              <w:spacing w:before="40" w:after="40" w:line="240" w:lineRule="auto"/>
              <w:jc w:val="both"/>
              <w:rPr>
                <w:szCs w:val="24"/>
              </w:rPr>
            </w:pPr>
            <w:r w:rsidRPr="00AF4B68">
              <w:rPr>
                <w:szCs w:val="24"/>
              </w:rPr>
              <w:t>2015-16</w:t>
            </w:r>
          </w:p>
        </w:tc>
        <w:tc>
          <w:tcPr>
            <w:tcW w:w="1519" w:type="dxa"/>
            <w:tcMar>
              <w:bottom w:w="142" w:type="dxa"/>
            </w:tcMar>
          </w:tcPr>
          <w:p w:rsidR="00CF46B4" w:rsidRPr="00AF4B68" w:rsidRDefault="00CF46B4" w:rsidP="008C084B">
            <w:pPr>
              <w:spacing w:before="40" w:after="40" w:line="240" w:lineRule="auto"/>
              <w:ind w:right="481"/>
              <w:jc w:val="right"/>
              <w:rPr>
                <w:color w:val="000000"/>
                <w:szCs w:val="24"/>
              </w:rPr>
            </w:pPr>
            <w:r w:rsidRPr="00AF4B68">
              <w:rPr>
                <w:color w:val="000000"/>
                <w:szCs w:val="24"/>
              </w:rPr>
              <w:t>4.4</w:t>
            </w:r>
          </w:p>
        </w:tc>
        <w:tc>
          <w:tcPr>
            <w:tcW w:w="1562" w:type="dxa"/>
            <w:tcMar>
              <w:bottom w:w="142" w:type="dxa"/>
            </w:tcMar>
          </w:tcPr>
          <w:p w:rsidR="00CF46B4" w:rsidRPr="00AF4B68" w:rsidRDefault="00CF46B4" w:rsidP="008C084B">
            <w:pPr>
              <w:spacing w:before="40" w:after="40" w:line="240" w:lineRule="auto"/>
              <w:ind w:right="449"/>
              <w:jc w:val="right"/>
              <w:rPr>
                <w:szCs w:val="24"/>
              </w:rPr>
            </w:pPr>
            <w:r w:rsidRPr="00AF4B68">
              <w:rPr>
                <w:szCs w:val="24"/>
              </w:rPr>
              <w:t>4.1</w:t>
            </w:r>
          </w:p>
        </w:tc>
        <w:tc>
          <w:tcPr>
            <w:tcW w:w="1476" w:type="dxa"/>
            <w:tcMar>
              <w:bottom w:w="142" w:type="dxa"/>
            </w:tcMar>
          </w:tcPr>
          <w:p w:rsidR="00CF46B4" w:rsidRPr="00AF4B68" w:rsidRDefault="00CF46B4" w:rsidP="008C084B">
            <w:pPr>
              <w:tabs>
                <w:tab w:val="left" w:pos="1045"/>
              </w:tabs>
              <w:spacing w:before="40" w:after="40" w:line="240" w:lineRule="auto"/>
              <w:ind w:right="265"/>
              <w:jc w:val="right"/>
              <w:rPr>
                <w:color w:val="000000"/>
                <w:szCs w:val="24"/>
              </w:rPr>
            </w:pPr>
            <w:r w:rsidRPr="00AF4B68">
              <w:rPr>
                <w:color w:val="000000"/>
                <w:szCs w:val="24"/>
              </w:rPr>
              <w:t>184.3</w:t>
            </w:r>
          </w:p>
        </w:tc>
        <w:tc>
          <w:tcPr>
            <w:tcW w:w="1473" w:type="dxa"/>
            <w:tcMar>
              <w:bottom w:w="142" w:type="dxa"/>
            </w:tcMar>
          </w:tcPr>
          <w:p w:rsidR="00CF46B4" w:rsidRPr="00AF4B68" w:rsidRDefault="00CF46B4" w:rsidP="008C084B">
            <w:pPr>
              <w:spacing w:before="40" w:after="40" w:line="240" w:lineRule="auto"/>
              <w:ind w:right="469"/>
              <w:jc w:val="right"/>
              <w:rPr>
                <w:szCs w:val="24"/>
              </w:rPr>
            </w:pPr>
            <w:r w:rsidRPr="00AF4B68">
              <w:rPr>
                <w:szCs w:val="24"/>
              </w:rPr>
              <w:t>1.2</w:t>
            </w:r>
          </w:p>
        </w:tc>
        <w:tc>
          <w:tcPr>
            <w:tcW w:w="1446" w:type="dxa"/>
            <w:tcMar>
              <w:bottom w:w="142" w:type="dxa"/>
            </w:tcMar>
          </w:tcPr>
          <w:p w:rsidR="00CF46B4" w:rsidRPr="00AF4B68" w:rsidRDefault="00CF46B4" w:rsidP="008C084B">
            <w:pPr>
              <w:tabs>
                <w:tab w:val="left" w:pos="1025"/>
              </w:tabs>
              <w:spacing w:before="40" w:after="40" w:line="240" w:lineRule="auto"/>
              <w:ind w:right="375"/>
              <w:jc w:val="right"/>
              <w:rPr>
                <w:szCs w:val="24"/>
              </w:rPr>
            </w:pPr>
            <w:r w:rsidRPr="00AF4B68">
              <w:rPr>
                <w:szCs w:val="24"/>
              </w:rPr>
              <w:t>194.0</w:t>
            </w:r>
          </w:p>
        </w:tc>
      </w:tr>
      <w:tr w:rsidR="00CF46B4" w:rsidRPr="00AF4B68" w:rsidTr="000A26BA">
        <w:trPr>
          <w:trHeight w:val="20"/>
          <w:jc w:val="center"/>
        </w:trPr>
        <w:tc>
          <w:tcPr>
            <w:tcW w:w="1575" w:type="dxa"/>
            <w:tcMar>
              <w:bottom w:w="142" w:type="dxa"/>
            </w:tcMar>
          </w:tcPr>
          <w:p w:rsidR="00CF46B4" w:rsidRPr="00AF4B68" w:rsidRDefault="00CF46B4" w:rsidP="008C084B">
            <w:pPr>
              <w:spacing w:before="40" w:after="40" w:line="240" w:lineRule="auto"/>
              <w:jc w:val="both"/>
              <w:rPr>
                <w:szCs w:val="24"/>
              </w:rPr>
            </w:pPr>
            <w:r w:rsidRPr="00AF4B68">
              <w:rPr>
                <w:szCs w:val="24"/>
              </w:rPr>
              <w:t>2016-17</w:t>
            </w:r>
          </w:p>
        </w:tc>
        <w:tc>
          <w:tcPr>
            <w:tcW w:w="1519" w:type="dxa"/>
            <w:tcMar>
              <w:bottom w:w="142" w:type="dxa"/>
            </w:tcMar>
          </w:tcPr>
          <w:p w:rsidR="00CF46B4" w:rsidRPr="00AF4B68" w:rsidRDefault="00CF46B4" w:rsidP="008C084B">
            <w:pPr>
              <w:spacing w:before="40" w:after="40" w:line="240" w:lineRule="auto"/>
              <w:ind w:right="481"/>
              <w:jc w:val="right"/>
              <w:rPr>
                <w:color w:val="000000"/>
                <w:szCs w:val="24"/>
              </w:rPr>
            </w:pPr>
            <w:r w:rsidRPr="00AF4B68">
              <w:rPr>
                <w:color w:val="000000"/>
                <w:szCs w:val="24"/>
              </w:rPr>
              <w:t>9.1</w:t>
            </w:r>
          </w:p>
        </w:tc>
        <w:tc>
          <w:tcPr>
            <w:tcW w:w="1562" w:type="dxa"/>
            <w:tcMar>
              <w:bottom w:w="142" w:type="dxa"/>
            </w:tcMar>
          </w:tcPr>
          <w:p w:rsidR="00CF46B4" w:rsidRPr="00AF4B68" w:rsidRDefault="00CF46B4" w:rsidP="008C084B">
            <w:pPr>
              <w:spacing w:before="40" w:after="40" w:line="240" w:lineRule="auto"/>
              <w:ind w:right="449"/>
              <w:jc w:val="right"/>
              <w:rPr>
                <w:szCs w:val="24"/>
              </w:rPr>
            </w:pPr>
            <w:r w:rsidRPr="00AF4B68">
              <w:rPr>
                <w:szCs w:val="24"/>
              </w:rPr>
              <w:t>1.9</w:t>
            </w:r>
          </w:p>
        </w:tc>
        <w:tc>
          <w:tcPr>
            <w:tcW w:w="1476" w:type="dxa"/>
            <w:tcMar>
              <w:bottom w:w="142" w:type="dxa"/>
            </w:tcMar>
          </w:tcPr>
          <w:p w:rsidR="00CF46B4" w:rsidRPr="00AF4B68" w:rsidRDefault="00CF46B4" w:rsidP="008C084B">
            <w:pPr>
              <w:tabs>
                <w:tab w:val="left" w:pos="1045"/>
              </w:tabs>
              <w:spacing w:before="40" w:after="40" w:line="240" w:lineRule="auto"/>
              <w:ind w:right="265"/>
              <w:jc w:val="right"/>
              <w:rPr>
                <w:color w:val="000000"/>
                <w:szCs w:val="24"/>
              </w:rPr>
            </w:pPr>
            <w:r w:rsidRPr="00AF4B68">
              <w:rPr>
                <w:color w:val="000000"/>
                <w:szCs w:val="24"/>
              </w:rPr>
              <w:t>346.3</w:t>
            </w:r>
          </w:p>
        </w:tc>
        <w:tc>
          <w:tcPr>
            <w:tcW w:w="1473" w:type="dxa"/>
            <w:tcMar>
              <w:bottom w:w="142" w:type="dxa"/>
            </w:tcMar>
          </w:tcPr>
          <w:p w:rsidR="00CF46B4" w:rsidRPr="00AF4B68" w:rsidRDefault="00CF46B4" w:rsidP="008C084B">
            <w:pPr>
              <w:spacing w:before="40" w:after="40" w:line="240" w:lineRule="auto"/>
              <w:ind w:right="469"/>
              <w:jc w:val="right"/>
              <w:rPr>
                <w:szCs w:val="24"/>
              </w:rPr>
            </w:pPr>
            <w:r w:rsidRPr="00AF4B68">
              <w:rPr>
                <w:szCs w:val="24"/>
              </w:rPr>
              <w:t>1.3</w:t>
            </w:r>
          </w:p>
        </w:tc>
        <w:tc>
          <w:tcPr>
            <w:tcW w:w="1446" w:type="dxa"/>
            <w:tcMar>
              <w:bottom w:w="142" w:type="dxa"/>
            </w:tcMar>
          </w:tcPr>
          <w:p w:rsidR="00CF46B4" w:rsidRPr="00AF4B68" w:rsidRDefault="00CF46B4" w:rsidP="008C084B">
            <w:pPr>
              <w:tabs>
                <w:tab w:val="left" w:pos="1025"/>
              </w:tabs>
              <w:spacing w:before="40" w:after="40" w:line="240" w:lineRule="auto"/>
              <w:ind w:right="375"/>
              <w:jc w:val="right"/>
              <w:rPr>
                <w:szCs w:val="24"/>
              </w:rPr>
            </w:pPr>
            <w:r w:rsidRPr="00AF4B68">
              <w:rPr>
                <w:szCs w:val="24"/>
              </w:rPr>
              <w:t>358.6</w:t>
            </w:r>
          </w:p>
        </w:tc>
      </w:tr>
      <w:tr w:rsidR="00CF46B4" w:rsidRPr="00AF4B68" w:rsidTr="000A26BA">
        <w:trPr>
          <w:trHeight w:val="20"/>
          <w:jc w:val="center"/>
        </w:trPr>
        <w:tc>
          <w:tcPr>
            <w:tcW w:w="1575" w:type="dxa"/>
            <w:tcMar>
              <w:bottom w:w="142" w:type="dxa"/>
            </w:tcMar>
          </w:tcPr>
          <w:p w:rsidR="00CF46B4" w:rsidRPr="00AF4B68" w:rsidRDefault="00CF46B4" w:rsidP="008C084B">
            <w:pPr>
              <w:spacing w:before="40" w:after="40" w:line="240" w:lineRule="auto"/>
              <w:jc w:val="both"/>
              <w:rPr>
                <w:b/>
                <w:i/>
                <w:szCs w:val="24"/>
              </w:rPr>
            </w:pPr>
            <w:r w:rsidRPr="00AF4B68">
              <w:rPr>
                <w:b/>
                <w:i/>
                <w:szCs w:val="24"/>
              </w:rPr>
              <w:t>Sub total</w:t>
            </w:r>
          </w:p>
        </w:tc>
        <w:tc>
          <w:tcPr>
            <w:tcW w:w="1519" w:type="dxa"/>
            <w:tcMar>
              <w:bottom w:w="142" w:type="dxa"/>
            </w:tcMar>
          </w:tcPr>
          <w:p w:rsidR="00CF46B4" w:rsidRPr="00AF4B68" w:rsidRDefault="00CF46B4" w:rsidP="008C084B">
            <w:pPr>
              <w:spacing w:before="40" w:after="40" w:line="240" w:lineRule="auto"/>
              <w:ind w:right="481"/>
              <w:jc w:val="right"/>
              <w:rPr>
                <w:b/>
                <w:i/>
                <w:color w:val="000000"/>
                <w:szCs w:val="24"/>
              </w:rPr>
            </w:pPr>
            <w:r w:rsidRPr="00AF4B68">
              <w:rPr>
                <w:b/>
                <w:i/>
                <w:color w:val="000000"/>
                <w:szCs w:val="24"/>
              </w:rPr>
              <w:t>27.6</w:t>
            </w:r>
          </w:p>
        </w:tc>
        <w:tc>
          <w:tcPr>
            <w:tcW w:w="1562" w:type="dxa"/>
            <w:tcMar>
              <w:bottom w:w="142" w:type="dxa"/>
            </w:tcMar>
          </w:tcPr>
          <w:p w:rsidR="00CF46B4" w:rsidRPr="00AF4B68" w:rsidRDefault="0069663D" w:rsidP="008C084B">
            <w:pPr>
              <w:spacing w:before="40" w:after="40" w:line="240" w:lineRule="auto"/>
              <w:ind w:right="449"/>
              <w:jc w:val="right"/>
              <w:rPr>
                <w:b/>
                <w:i/>
                <w:szCs w:val="24"/>
              </w:rPr>
            </w:pPr>
            <w:r w:rsidRPr="00AF4B68">
              <w:rPr>
                <w:b/>
                <w:i/>
                <w:szCs w:val="24"/>
              </w:rPr>
              <w:fldChar w:fldCharType="begin"/>
            </w:r>
            <w:r w:rsidR="00CF46B4" w:rsidRPr="00AF4B68">
              <w:rPr>
                <w:b/>
                <w:i/>
                <w:szCs w:val="24"/>
              </w:rPr>
              <w:instrText xml:space="preserve"> =SUM(ABOVE) </w:instrText>
            </w:r>
            <w:r w:rsidRPr="00AF4B68">
              <w:rPr>
                <w:b/>
                <w:i/>
                <w:szCs w:val="24"/>
              </w:rPr>
              <w:fldChar w:fldCharType="separate"/>
            </w:r>
            <w:r w:rsidR="00CF46B4" w:rsidRPr="00AF4B68">
              <w:rPr>
                <w:b/>
                <w:i/>
                <w:noProof/>
                <w:szCs w:val="24"/>
              </w:rPr>
              <w:t>44.6</w:t>
            </w:r>
            <w:r w:rsidRPr="00AF4B68">
              <w:rPr>
                <w:b/>
                <w:i/>
                <w:szCs w:val="24"/>
              </w:rPr>
              <w:fldChar w:fldCharType="end"/>
            </w:r>
          </w:p>
        </w:tc>
        <w:tc>
          <w:tcPr>
            <w:tcW w:w="1476" w:type="dxa"/>
            <w:tcMar>
              <w:bottom w:w="142" w:type="dxa"/>
            </w:tcMar>
          </w:tcPr>
          <w:p w:rsidR="00CF46B4" w:rsidRPr="00AF4B68" w:rsidRDefault="00CF46B4" w:rsidP="008C084B">
            <w:pPr>
              <w:tabs>
                <w:tab w:val="left" w:pos="1045"/>
              </w:tabs>
              <w:spacing w:before="40" w:after="40" w:line="240" w:lineRule="auto"/>
              <w:ind w:right="265"/>
              <w:jc w:val="right"/>
              <w:rPr>
                <w:b/>
                <w:i/>
                <w:color w:val="000000"/>
                <w:szCs w:val="24"/>
              </w:rPr>
            </w:pPr>
            <w:r w:rsidRPr="00AF4B68">
              <w:rPr>
                <w:b/>
                <w:i/>
                <w:color w:val="000000"/>
                <w:szCs w:val="24"/>
              </w:rPr>
              <w:t>1,012.3</w:t>
            </w:r>
          </w:p>
        </w:tc>
        <w:tc>
          <w:tcPr>
            <w:tcW w:w="1473" w:type="dxa"/>
            <w:tcMar>
              <w:bottom w:w="142" w:type="dxa"/>
            </w:tcMar>
          </w:tcPr>
          <w:p w:rsidR="00CF46B4" w:rsidRPr="00AF4B68" w:rsidRDefault="0069663D" w:rsidP="008C084B">
            <w:pPr>
              <w:spacing w:before="40" w:after="40" w:line="240" w:lineRule="auto"/>
              <w:ind w:right="469"/>
              <w:jc w:val="right"/>
              <w:rPr>
                <w:b/>
                <w:i/>
                <w:szCs w:val="24"/>
              </w:rPr>
            </w:pPr>
            <w:r w:rsidRPr="00AF4B68">
              <w:rPr>
                <w:b/>
                <w:i/>
                <w:szCs w:val="24"/>
              </w:rPr>
              <w:fldChar w:fldCharType="begin"/>
            </w:r>
            <w:r w:rsidR="00CF46B4" w:rsidRPr="00AF4B68">
              <w:rPr>
                <w:b/>
                <w:i/>
                <w:szCs w:val="24"/>
              </w:rPr>
              <w:instrText xml:space="preserve"> =SUM(ABOVE) </w:instrText>
            </w:r>
            <w:r w:rsidRPr="00AF4B68">
              <w:rPr>
                <w:b/>
                <w:i/>
                <w:szCs w:val="24"/>
              </w:rPr>
              <w:fldChar w:fldCharType="separate"/>
            </w:r>
            <w:r w:rsidR="00CF46B4" w:rsidRPr="00AF4B68">
              <w:rPr>
                <w:b/>
                <w:i/>
                <w:noProof/>
                <w:szCs w:val="24"/>
              </w:rPr>
              <w:t>14.8</w:t>
            </w:r>
            <w:r w:rsidRPr="00AF4B68">
              <w:rPr>
                <w:b/>
                <w:i/>
                <w:szCs w:val="24"/>
              </w:rPr>
              <w:fldChar w:fldCharType="end"/>
            </w:r>
          </w:p>
        </w:tc>
        <w:tc>
          <w:tcPr>
            <w:tcW w:w="1446" w:type="dxa"/>
            <w:tcMar>
              <w:bottom w:w="142" w:type="dxa"/>
            </w:tcMar>
          </w:tcPr>
          <w:p w:rsidR="00CF46B4" w:rsidRPr="00AF4B68" w:rsidRDefault="00CF46B4" w:rsidP="008C084B">
            <w:pPr>
              <w:tabs>
                <w:tab w:val="left" w:pos="1025"/>
              </w:tabs>
              <w:spacing w:before="40" w:after="40" w:line="240" w:lineRule="auto"/>
              <w:ind w:right="375"/>
              <w:jc w:val="right"/>
              <w:rPr>
                <w:b/>
                <w:i/>
                <w:szCs w:val="24"/>
              </w:rPr>
            </w:pPr>
            <w:r w:rsidRPr="00AF4B68">
              <w:rPr>
                <w:b/>
                <w:i/>
                <w:szCs w:val="24"/>
              </w:rPr>
              <w:t>1,099.4</w:t>
            </w:r>
          </w:p>
        </w:tc>
      </w:tr>
      <w:tr w:rsidR="00CF46B4" w:rsidRPr="00AF4B68" w:rsidTr="000A26BA">
        <w:trPr>
          <w:trHeight w:val="20"/>
          <w:jc w:val="center"/>
        </w:trPr>
        <w:tc>
          <w:tcPr>
            <w:tcW w:w="1575" w:type="dxa"/>
            <w:tcMar>
              <w:bottom w:w="142" w:type="dxa"/>
            </w:tcMar>
          </w:tcPr>
          <w:p w:rsidR="00CF46B4" w:rsidRPr="00AF4B68" w:rsidRDefault="00CF46B4" w:rsidP="008C084B">
            <w:pPr>
              <w:spacing w:before="40" w:after="40" w:line="240" w:lineRule="auto"/>
              <w:jc w:val="both"/>
              <w:rPr>
                <w:szCs w:val="24"/>
              </w:rPr>
            </w:pPr>
            <w:r w:rsidRPr="00AF4B68">
              <w:rPr>
                <w:szCs w:val="24"/>
              </w:rPr>
              <w:t>Interest</w:t>
            </w:r>
            <w:r>
              <w:rPr>
                <w:szCs w:val="24"/>
              </w:rPr>
              <w:t>s</w:t>
            </w:r>
          </w:p>
        </w:tc>
        <w:tc>
          <w:tcPr>
            <w:tcW w:w="1519" w:type="dxa"/>
            <w:tcMar>
              <w:bottom w:w="142" w:type="dxa"/>
            </w:tcMar>
          </w:tcPr>
          <w:p w:rsidR="00CF46B4" w:rsidRPr="00AF4B68" w:rsidRDefault="00CF46B4" w:rsidP="008C084B">
            <w:pPr>
              <w:spacing w:before="40" w:after="40" w:line="240" w:lineRule="auto"/>
              <w:ind w:right="481"/>
              <w:jc w:val="right"/>
              <w:rPr>
                <w:color w:val="000000"/>
                <w:szCs w:val="24"/>
              </w:rPr>
            </w:pPr>
            <w:r w:rsidRPr="00AF4B68">
              <w:rPr>
                <w:color w:val="000000"/>
                <w:szCs w:val="24"/>
              </w:rPr>
              <w:t>4.7</w:t>
            </w:r>
          </w:p>
        </w:tc>
        <w:tc>
          <w:tcPr>
            <w:tcW w:w="1562" w:type="dxa"/>
            <w:tcMar>
              <w:bottom w:w="142" w:type="dxa"/>
            </w:tcMar>
          </w:tcPr>
          <w:p w:rsidR="00CF46B4" w:rsidRPr="00AF4B68" w:rsidRDefault="00CF46B4" w:rsidP="008C084B">
            <w:pPr>
              <w:spacing w:before="40" w:after="40" w:line="240" w:lineRule="auto"/>
              <w:ind w:right="449"/>
              <w:jc w:val="right"/>
              <w:rPr>
                <w:szCs w:val="24"/>
              </w:rPr>
            </w:pPr>
            <w:r w:rsidRPr="00AF4B68">
              <w:rPr>
                <w:szCs w:val="24"/>
              </w:rPr>
              <w:t>15.5</w:t>
            </w:r>
          </w:p>
        </w:tc>
        <w:tc>
          <w:tcPr>
            <w:tcW w:w="1476" w:type="dxa"/>
            <w:tcMar>
              <w:bottom w:w="142" w:type="dxa"/>
            </w:tcMar>
          </w:tcPr>
          <w:p w:rsidR="00CF46B4" w:rsidRPr="00AF4B68" w:rsidRDefault="00CF46B4" w:rsidP="008C084B">
            <w:pPr>
              <w:tabs>
                <w:tab w:val="left" w:pos="1045"/>
              </w:tabs>
              <w:spacing w:before="40" w:after="40" w:line="240" w:lineRule="auto"/>
              <w:ind w:right="265"/>
              <w:jc w:val="right"/>
              <w:rPr>
                <w:color w:val="000000"/>
                <w:szCs w:val="24"/>
              </w:rPr>
            </w:pPr>
            <w:r w:rsidRPr="00AF4B68">
              <w:rPr>
                <w:color w:val="000000"/>
                <w:szCs w:val="24"/>
              </w:rPr>
              <w:t>216.7</w:t>
            </w:r>
          </w:p>
        </w:tc>
        <w:tc>
          <w:tcPr>
            <w:tcW w:w="1473" w:type="dxa"/>
            <w:tcMar>
              <w:bottom w:w="142" w:type="dxa"/>
            </w:tcMar>
          </w:tcPr>
          <w:p w:rsidR="00CF46B4" w:rsidRPr="00AF4B68" w:rsidRDefault="00CF46B4" w:rsidP="008C084B">
            <w:pPr>
              <w:spacing w:before="40" w:after="40" w:line="240" w:lineRule="auto"/>
              <w:ind w:right="469"/>
              <w:jc w:val="right"/>
              <w:rPr>
                <w:szCs w:val="24"/>
              </w:rPr>
            </w:pPr>
            <w:r w:rsidRPr="00AF4B68">
              <w:rPr>
                <w:szCs w:val="24"/>
              </w:rPr>
              <w:t>9.2</w:t>
            </w:r>
          </w:p>
        </w:tc>
        <w:tc>
          <w:tcPr>
            <w:tcW w:w="1446" w:type="dxa"/>
            <w:tcMar>
              <w:bottom w:w="142" w:type="dxa"/>
            </w:tcMar>
          </w:tcPr>
          <w:p w:rsidR="00CF46B4" w:rsidRPr="00AF4B68" w:rsidRDefault="00CF46B4" w:rsidP="008C084B">
            <w:pPr>
              <w:tabs>
                <w:tab w:val="left" w:pos="1025"/>
              </w:tabs>
              <w:spacing w:before="40" w:after="40" w:line="240" w:lineRule="auto"/>
              <w:ind w:right="375"/>
              <w:jc w:val="right"/>
              <w:rPr>
                <w:szCs w:val="24"/>
              </w:rPr>
            </w:pPr>
            <w:r w:rsidRPr="00AF4B68">
              <w:rPr>
                <w:szCs w:val="24"/>
              </w:rPr>
              <w:t>246.1</w:t>
            </w:r>
          </w:p>
        </w:tc>
      </w:tr>
      <w:tr w:rsidR="00CF46B4" w:rsidRPr="00AF4B68" w:rsidTr="000A26BA">
        <w:trPr>
          <w:trHeight w:val="20"/>
          <w:jc w:val="center"/>
        </w:trPr>
        <w:tc>
          <w:tcPr>
            <w:tcW w:w="1575" w:type="dxa"/>
            <w:tcMar>
              <w:bottom w:w="142" w:type="dxa"/>
            </w:tcMar>
          </w:tcPr>
          <w:p w:rsidR="00CF46B4" w:rsidRPr="00AF4B68" w:rsidRDefault="00CF46B4" w:rsidP="008C084B">
            <w:pPr>
              <w:spacing w:before="40" w:after="40" w:line="240" w:lineRule="auto"/>
              <w:jc w:val="both"/>
              <w:rPr>
                <w:b/>
                <w:szCs w:val="24"/>
              </w:rPr>
            </w:pPr>
            <w:r w:rsidRPr="00AF4B68">
              <w:rPr>
                <w:b/>
                <w:szCs w:val="24"/>
              </w:rPr>
              <w:t>Total</w:t>
            </w:r>
          </w:p>
        </w:tc>
        <w:tc>
          <w:tcPr>
            <w:tcW w:w="1519" w:type="dxa"/>
            <w:tcMar>
              <w:bottom w:w="142" w:type="dxa"/>
            </w:tcMar>
          </w:tcPr>
          <w:p w:rsidR="00CF46B4" w:rsidRPr="00AF4B68" w:rsidRDefault="00CF46B4" w:rsidP="008C084B">
            <w:pPr>
              <w:spacing w:before="40" w:after="40" w:line="240" w:lineRule="auto"/>
              <w:ind w:right="481"/>
              <w:jc w:val="right"/>
              <w:rPr>
                <w:b/>
                <w:color w:val="000000"/>
                <w:szCs w:val="24"/>
              </w:rPr>
            </w:pPr>
            <w:r w:rsidRPr="00AF4B68">
              <w:rPr>
                <w:b/>
                <w:color w:val="000000"/>
                <w:szCs w:val="24"/>
              </w:rPr>
              <w:t>32.3</w:t>
            </w:r>
          </w:p>
        </w:tc>
        <w:tc>
          <w:tcPr>
            <w:tcW w:w="1562" w:type="dxa"/>
            <w:tcMar>
              <w:bottom w:w="142" w:type="dxa"/>
            </w:tcMar>
          </w:tcPr>
          <w:p w:rsidR="00CF46B4" w:rsidRPr="00AF4B68" w:rsidRDefault="00CF46B4" w:rsidP="008C084B">
            <w:pPr>
              <w:spacing w:before="40" w:after="40" w:line="240" w:lineRule="auto"/>
              <w:ind w:right="449"/>
              <w:jc w:val="right"/>
              <w:rPr>
                <w:b/>
                <w:szCs w:val="24"/>
              </w:rPr>
            </w:pPr>
            <w:r w:rsidRPr="00AF4B68">
              <w:rPr>
                <w:b/>
                <w:szCs w:val="24"/>
              </w:rPr>
              <w:t>60.1</w:t>
            </w:r>
          </w:p>
        </w:tc>
        <w:tc>
          <w:tcPr>
            <w:tcW w:w="1476" w:type="dxa"/>
            <w:tcMar>
              <w:bottom w:w="142" w:type="dxa"/>
            </w:tcMar>
          </w:tcPr>
          <w:p w:rsidR="00CF46B4" w:rsidRPr="00AF4B68" w:rsidRDefault="00CF46B4" w:rsidP="008C084B">
            <w:pPr>
              <w:tabs>
                <w:tab w:val="left" w:pos="1045"/>
              </w:tabs>
              <w:spacing w:before="40" w:after="40" w:line="240" w:lineRule="auto"/>
              <w:ind w:right="265"/>
              <w:jc w:val="right"/>
              <w:rPr>
                <w:b/>
                <w:bCs/>
                <w:color w:val="000000"/>
                <w:szCs w:val="24"/>
              </w:rPr>
            </w:pPr>
            <w:r w:rsidRPr="00AF4B68">
              <w:rPr>
                <w:b/>
                <w:bCs/>
                <w:color w:val="000000"/>
                <w:szCs w:val="24"/>
              </w:rPr>
              <w:t>1,229.1</w:t>
            </w:r>
          </w:p>
        </w:tc>
        <w:tc>
          <w:tcPr>
            <w:tcW w:w="1473" w:type="dxa"/>
            <w:tcMar>
              <w:bottom w:w="142" w:type="dxa"/>
            </w:tcMar>
          </w:tcPr>
          <w:p w:rsidR="00CF46B4" w:rsidRPr="00AF4B68" w:rsidRDefault="00CF46B4" w:rsidP="008C084B">
            <w:pPr>
              <w:spacing w:before="40" w:after="40" w:line="240" w:lineRule="auto"/>
              <w:ind w:right="469"/>
              <w:jc w:val="right"/>
              <w:rPr>
                <w:b/>
                <w:szCs w:val="24"/>
              </w:rPr>
            </w:pPr>
            <w:r w:rsidRPr="00AF4B68">
              <w:rPr>
                <w:b/>
                <w:szCs w:val="24"/>
              </w:rPr>
              <w:t>24.1</w:t>
            </w:r>
          </w:p>
        </w:tc>
        <w:tc>
          <w:tcPr>
            <w:tcW w:w="1446" w:type="dxa"/>
            <w:tcMar>
              <w:bottom w:w="142" w:type="dxa"/>
            </w:tcMar>
          </w:tcPr>
          <w:p w:rsidR="00CF46B4" w:rsidRPr="00AF4B68" w:rsidRDefault="00CF46B4" w:rsidP="008C084B">
            <w:pPr>
              <w:tabs>
                <w:tab w:val="left" w:pos="1025"/>
              </w:tabs>
              <w:spacing w:before="40" w:after="40" w:line="240" w:lineRule="auto"/>
              <w:ind w:right="375"/>
              <w:jc w:val="right"/>
              <w:rPr>
                <w:b/>
                <w:szCs w:val="24"/>
              </w:rPr>
            </w:pPr>
            <w:r w:rsidRPr="00AF4B68">
              <w:rPr>
                <w:b/>
                <w:szCs w:val="24"/>
              </w:rPr>
              <w:t>1,345.5</w:t>
            </w:r>
          </w:p>
        </w:tc>
      </w:tr>
      <w:tr w:rsidR="00CF46B4" w:rsidRPr="00AF4B68" w:rsidTr="000A26BA">
        <w:trPr>
          <w:trHeight w:val="20"/>
          <w:jc w:val="center"/>
        </w:trPr>
        <w:tc>
          <w:tcPr>
            <w:tcW w:w="1575" w:type="dxa"/>
            <w:tcMar>
              <w:bottom w:w="142" w:type="dxa"/>
            </w:tcMar>
          </w:tcPr>
          <w:p w:rsidR="00CF46B4" w:rsidRPr="00AF4B68" w:rsidRDefault="00CF46B4" w:rsidP="008C084B">
            <w:pPr>
              <w:spacing w:before="40" w:after="40" w:line="240" w:lineRule="auto"/>
              <w:rPr>
                <w:szCs w:val="24"/>
              </w:rPr>
            </w:pPr>
            <w:r w:rsidRPr="00AF4B68">
              <w:rPr>
                <w:szCs w:val="24"/>
              </w:rPr>
              <w:t>Reported</w:t>
            </w:r>
            <w:r w:rsidR="00E43BEE">
              <w:rPr>
                <w:szCs w:val="24"/>
              </w:rPr>
              <w:t xml:space="preserve"> </w:t>
            </w:r>
            <w:r w:rsidRPr="00AF4B68">
              <w:rPr>
                <w:szCs w:val="24"/>
              </w:rPr>
              <w:t>in Accountant General Report</w:t>
            </w:r>
          </w:p>
        </w:tc>
        <w:tc>
          <w:tcPr>
            <w:tcW w:w="1519" w:type="dxa"/>
            <w:tcMar>
              <w:bottom w:w="142" w:type="dxa"/>
            </w:tcMar>
            <w:vAlign w:val="bottom"/>
          </w:tcPr>
          <w:p w:rsidR="00CF46B4" w:rsidRPr="00AF4B68" w:rsidRDefault="00CF46B4" w:rsidP="008C084B">
            <w:pPr>
              <w:spacing w:before="40" w:after="40" w:line="240" w:lineRule="auto"/>
              <w:ind w:right="481"/>
              <w:jc w:val="right"/>
              <w:rPr>
                <w:color w:val="000000"/>
                <w:szCs w:val="24"/>
              </w:rPr>
            </w:pPr>
            <w:r w:rsidRPr="00AF4B68">
              <w:rPr>
                <w:color w:val="000000"/>
                <w:szCs w:val="24"/>
              </w:rPr>
              <w:t>20.5</w:t>
            </w:r>
          </w:p>
        </w:tc>
        <w:tc>
          <w:tcPr>
            <w:tcW w:w="1562" w:type="dxa"/>
            <w:tcMar>
              <w:bottom w:w="142" w:type="dxa"/>
            </w:tcMar>
            <w:vAlign w:val="bottom"/>
          </w:tcPr>
          <w:p w:rsidR="00CF46B4" w:rsidRPr="00AF4B68" w:rsidRDefault="00CF46B4" w:rsidP="008C084B">
            <w:pPr>
              <w:spacing w:before="40" w:after="40" w:line="240" w:lineRule="auto"/>
              <w:ind w:right="449"/>
              <w:jc w:val="right"/>
              <w:rPr>
                <w:szCs w:val="24"/>
              </w:rPr>
            </w:pPr>
            <w:r w:rsidRPr="00AF4B68">
              <w:rPr>
                <w:szCs w:val="24"/>
              </w:rPr>
              <w:t>60.1</w:t>
            </w:r>
          </w:p>
        </w:tc>
        <w:tc>
          <w:tcPr>
            <w:tcW w:w="1476" w:type="dxa"/>
            <w:tcMar>
              <w:bottom w:w="142" w:type="dxa"/>
            </w:tcMar>
            <w:vAlign w:val="bottom"/>
          </w:tcPr>
          <w:p w:rsidR="00CF46B4" w:rsidRPr="00AF4B68" w:rsidRDefault="00CF46B4" w:rsidP="008C084B">
            <w:pPr>
              <w:tabs>
                <w:tab w:val="left" w:pos="1045"/>
              </w:tabs>
              <w:spacing w:before="40" w:after="40" w:line="240" w:lineRule="auto"/>
              <w:ind w:right="265"/>
              <w:jc w:val="right"/>
              <w:rPr>
                <w:bCs/>
                <w:color w:val="000000"/>
                <w:szCs w:val="24"/>
              </w:rPr>
            </w:pPr>
            <w:r w:rsidRPr="00AF4B68">
              <w:rPr>
                <w:bCs/>
                <w:color w:val="000000"/>
                <w:szCs w:val="24"/>
              </w:rPr>
              <w:t>435.4</w:t>
            </w:r>
          </w:p>
        </w:tc>
        <w:tc>
          <w:tcPr>
            <w:tcW w:w="1473" w:type="dxa"/>
            <w:tcMar>
              <w:bottom w:w="142" w:type="dxa"/>
            </w:tcMar>
            <w:vAlign w:val="bottom"/>
          </w:tcPr>
          <w:p w:rsidR="00CF46B4" w:rsidRPr="00AF4B68" w:rsidRDefault="00CF46B4" w:rsidP="008C084B">
            <w:pPr>
              <w:spacing w:before="40" w:after="40" w:line="240" w:lineRule="auto"/>
              <w:ind w:right="469"/>
              <w:jc w:val="right"/>
              <w:rPr>
                <w:szCs w:val="24"/>
              </w:rPr>
            </w:pPr>
            <w:r w:rsidRPr="00AF4B68">
              <w:rPr>
                <w:szCs w:val="24"/>
              </w:rPr>
              <w:t>24.0</w:t>
            </w:r>
          </w:p>
        </w:tc>
        <w:tc>
          <w:tcPr>
            <w:tcW w:w="1446" w:type="dxa"/>
            <w:tcMar>
              <w:bottom w:w="142" w:type="dxa"/>
            </w:tcMar>
            <w:vAlign w:val="bottom"/>
          </w:tcPr>
          <w:p w:rsidR="00CF46B4" w:rsidRPr="00AF4B68" w:rsidRDefault="00CF46B4" w:rsidP="008C084B">
            <w:pPr>
              <w:tabs>
                <w:tab w:val="left" w:pos="1025"/>
              </w:tabs>
              <w:spacing w:before="40" w:after="40" w:line="240" w:lineRule="auto"/>
              <w:ind w:right="375"/>
              <w:jc w:val="right"/>
              <w:rPr>
                <w:szCs w:val="24"/>
              </w:rPr>
            </w:pPr>
            <w:r w:rsidRPr="00AF4B68">
              <w:rPr>
                <w:szCs w:val="24"/>
              </w:rPr>
              <w:t>540.1</w:t>
            </w:r>
          </w:p>
        </w:tc>
      </w:tr>
      <w:tr w:rsidR="00CF46B4" w:rsidRPr="00AF4B68" w:rsidTr="000A26BA">
        <w:trPr>
          <w:trHeight w:val="20"/>
          <w:jc w:val="center"/>
        </w:trPr>
        <w:tc>
          <w:tcPr>
            <w:tcW w:w="1575" w:type="dxa"/>
          </w:tcPr>
          <w:p w:rsidR="00CF46B4" w:rsidRPr="00AF4B68" w:rsidRDefault="00CF46B4" w:rsidP="008C084B">
            <w:pPr>
              <w:spacing w:before="40" w:after="40" w:line="240" w:lineRule="auto"/>
              <w:jc w:val="both"/>
              <w:rPr>
                <w:szCs w:val="24"/>
              </w:rPr>
            </w:pPr>
            <w:r w:rsidRPr="00AF4B68">
              <w:rPr>
                <w:szCs w:val="24"/>
              </w:rPr>
              <w:t>Excluded from A</w:t>
            </w:r>
            <w:r>
              <w:rPr>
                <w:szCs w:val="24"/>
              </w:rPr>
              <w:t xml:space="preserve">ccountant General </w:t>
            </w:r>
            <w:r w:rsidRPr="00AF4B68">
              <w:rPr>
                <w:szCs w:val="24"/>
              </w:rPr>
              <w:t>Report</w:t>
            </w:r>
          </w:p>
        </w:tc>
        <w:tc>
          <w:tcPr>
            <w:tcW w:w="1519" w:type="dxa"/>
            <w:vAlign w:val="bottom"/>
          </w:tcPr>
          <w:p w:rsidR="00CF46B4" w:rsidRPr="00AF4B68" w:rsidRDefault="00CF46B4" w:rsidP="008C084B">
            <w:pPr>
              <w:spacing w:before="40" w:after="40" w:line="240" w:lineRule="auto"/>
              <w:ind w:right="481"/>
              <w:jc w:val="right"/>
              <w:rPr>
                <w:color w:val="000000"/>
                <w:szCs w:val="24"/>
              </w:rPr>
            </w:pPr>
            <w:r>
              <w:rPr>
                <w:color w:val="000000"/>
                <w:szCs w:val="24"/>
              </w:rPr>
              <w:t>11.8</w:t>
            </w:r>
          </w:p>
        </w:tc>
        <w:tc>
          <w:tcPr>
            <w:tcW w:w="1562" w:type="dxa"/>
            <w:vAlign w:val="bottom"/>
          </w:tcPr>
          <w:p w:rsidR="00CF46B4" w:rsidRPr="00AF4B68" w:rsidRDefault="00CF46B4" w:rsidP="008C084B">
            <w:pPr>
              <w:spacing w:before="40" w:after="40" w:line="240" w:lineRule="auto"/>
              <w:ind w:right="449"/>
              <w:jc w:val="right"/>
              <w:rPr>
                <w:szCs w:val="24"/>
              </w:rPr>
            </w:pPr>
            <w:r w:rsidRPr="00AF4B68">
              <w:rPr>
                <w:szCs w:val="24"/>
              </w:rPr>
              <w:t>Nil</w:t>
            </w:r>
          </w:p>
        </w:tc>
        <w:tc>
          <w:tcPr>
            <w:tcW w:w="1476" w:type="dxa"/>
            <w:vAlign w:val="bottom"/>
          </w:tcPr>
          <w:p w:rsidR="00CF46B4" w:rsidRPr="00AF4B68" w:rsidRDefault="00CF46B4" w:rsidP="008C084B">
            <w:pPr>
              <w:tabs>
                <w:tab w:val="left" w:pos="1045"/>
              </w:tabs>
              <w:spacing w:before="40" w:after="40" w:line="240" w:lineRule="auto"/>
              <w:ind w:right="265"/>
              <w:jc w:val="right"/>
              <w:rPr>
                <w:bCs/>
                <w:color w:val="000000"/>
                <w:szCs w:val="24"/>
              </w:rPr>
            </w:pPr>
            <w:r w:rsidRPr="00AF4B68">
              <w:rPr>
                <w:bCs/>
                <w:color w:val="000000"/>
                <w:szCs w:val="24"/>
              </w:rPr>
              <w:t>793.7</w:t>
            </w:r>
          </w:p>
        </w:tc>
        <w:tc>
          <w:tcPr>
            <w:tcW w:w="1473" w:type="dxa"/>
            <w:vAlign w:val="bottom"/>
          </w:tcPr>
          <w:p w:rsidR="00CF46B4" w:rsidRPr="00AF4B68" w:rsidRDefault="00CF46B4" w:rsidP="008C084B">
            <w:pPr>
              <w:spacing w:before="40" w:after="40" w:line="240" w:lineRule="auto"/>
              <w:ind w:right="469"/>
              <w:jc w:val="right"/>
              <w:rPr>
                <w:szCs w:val="24"/>
              </w:rPr>
            </w:pPr>
            <w:r>
              <w:rPr>
                <w:szCs w:val="24"/>
              </w:rPr>
              <w:t>0.1</w:t>
            </w:r>
          </w:p>
        </w:tc>
        <w:tc>
          <w:tcPr>
            <w:tcW w:w="1446" w:type="dxa"/>
            <w:vAlign w:val="bottom"/>
          </w:tcPr>
          <w:p w:rsidR="00CF46B4" w:rsidRPr="00AF4B68" w:rsidRDefault="00CF46B4" w:rsidP="008C084B">
            <w:pPr>
              <w:tabs>
                <w:tab w:val="left" w:pos="1025"/>
              </w:tabs>
              <w:spacing w:before="40" w:after="40" w:line="240" w:lineRule="auto"/>
              <w:ind w:right="375"/>
              <w:jc w:val="right"/>
              <w:rPr>
                <w:szCs w:val="24"/>
              </w:rPr>
            </w:pPr>
            <w:r w:rsidRPr="00AF4B68">
              <w:rPr>
                <w:szCs w:val="24"/>
              </w:rPr>
              <w:t>805.4</w:t>
            </w:r>
          </w:p>
        </w:tc>
      </w:tr>
    </w:tbl>
    <w:p w:rsidR="00F8458B" w:rsidRDefault="00F8458B" w:rsidP="00F8458B">
      <w:pPr>
        <w:pBdr>
          <w:bottom w:val="single" w:sz="4" w:space="1" w:color="auto"/>
        </w:pBdr>
        <w:spacing w:after="0" w:line="240" w:lineRule="auto"/>
        <w:jc w:val="both"/>
        <w:rPr>
          <w:i/>
          <w:sz w:val="20"/>
          <w:szCs w:val="20"/>
        </w:rPr>
      </w:pPr>
    </w:p>
    <w:p w:rsidR="00CF46B4" w:rsidRDefault="00CF46B4" w:rsidP="00CF46B4">
      <w:pPr>
        <w:spacing w:after="0" w:line="240" w:lineRule="auto"/>
        <w:jc w:val="both"/>
        <w:rPr>
          <w:i/>
          <w:sz w:val="20"/>
          <w:szCs w:val="20"/>
        </w:rPr>
      </w:pPr>
      <w:r w:rsidRPr="00254EE6">
        <w:rPr>
          <w:i/>
          <w:sz w:val="20"/>
          <w:szCs w:val="20"/>
        </w:rPr>
        <w:t>Source: Statement of Arrears of the Ministry</w:t>
      </w:r>
    </w:p>
    <w:p w:rsidR="00CF46B4" w:rsidRPr="00254EE6" w:rsidRDefault="00CF46B4" w:rsidP="00CF46B4">
      <w:pPr>
        <w:spacing w:after="0" w:line="240" w:lineRule="auto"/>
        <w:jc w:val="both"/>
        <w:rPr>
          <w:i/>
          <w:sz w:val="20"/>
          <w:szCs w:val="20"/>
        </w:rPr>
      </w:pPr>
    </w:p>
    <w:p w:rsidR="00CF46B4" w:rsidRDefault="00CF46B4" w:rsidP="00CF46B4">
      <w:pPr>
        <w:pStyle w:val="ListParagraph"/>
        <w:numPr>
          <w:ilvl w:val="0"/>
          <w:numId w:val="12"/>
        </w:numPr>
        <w:spacing w:after="0" w:line="240" w:lineRule="auto"/>
        <w:ind w:left="360"/>
        <w:jc w:val="both"/>
        <w:rPr>
          <w:szCs w:val="24"/>
        </w:rPr>
      </w:pPr>
      <w:r w:rsidRPr="00AF4B68">
        <w:rPr>
          <w:szCs w:val="24"/>
        </w:rPr>
        <w:t>Out of Rs 1</w:t>
      </w:r>
      <w:r>
        <w:rPr>
          <w:szCs w:val="24"/>
        </w:rPr>
        <w:t>,</w:t>
      </w:r>
      <w:r w:rsidRPr="00AF4B68">
        <w:rPr>
          <w:szCs w:val="24"/>
        </w:rPr>
        <w:t>34</w:t>
      </w:r>
      <w:r>
        <w:rPr>
          <w:szCs w:val="24"/>
        </w:rPr>
        <w:t>5</w:t>
      </w:r>
      <w:r w:rsidR="00372A02">
        <w:rPr>
          <w:szCs w:val="24"/>
        </w:rPr>
        <w:t>.5</w:t>
      </w:r>
      <w:r>
        <w:rPr>
          <w:szCs w:val="24"/>
        </w:rPr>
        <w:t xml:space="preserve"> m</w:t>
      </w:r>
      <w:r w:rsidRPr="00AF4B68">
        <w:rPr>
          <w:szCs w:val="24"/>
        </w:rPr>
        <w:t>illion, only an amount of Rs 540</w:t>
      </w:r>
      <w:r w:rsidR="00372A02">
        <w:rPr>
          <w:szCs w:val="24"/>
        </w:rPr>
        <w:t>.1</w:t>
      </w:r>
      <w:r w:rsidRPr="00AF4B68">
        <w:rPr>
          <w:szCs w:val="24"/>
        </w:rPr>
        <w:t xml:space="preserve"> million</w:t>
      </w:r>
      <w:r>
        <w:rPr>
          <w:szCs w:val="24"/>
        </w:rPr>
        <w:t xml:space="preserve"> had</w:t>
      </w:r>
      <w:r w:rsidRPr="00AF4B68">
        <w:rPr>
          <w:szCs w:val="24"/>
        </w:rPr>
        <w:t xml:space="preserve"> been reported as arrears by the Ministry to the Accountant General</w:t>
      </w:r>
      <w:r>
        <w:rPr>
          <w:szCs w:val="24"/>
        </w:rPr>
        <w:t>;</w:t>
      </w:r>
    </w:p>
    <w:p w:rsidR="00CF46B4" w:rsidRPr="00AF4B68" w:rsidRDefault="00CF46B4" w:rsidP="00CF46B4">
      <w:pPr>
        <w:pStyle w:val="ListParagraph"/>
        <w:spacing w:after="0" w:line="240" w:lineRule="auto"/>
        <w:ind w:left="360"/>
        <w:jc w:val="both"/>
        <w:rPr>
          <w:szCs w:val="24"/>
        </w:rPr>
      </w:pPr>
    </w:p>
    <w:p w:rsidR="00CF46B4" w:rsidRDefault="004E2FBA" w:rsidP="00CF46B4">
      <w:pPr>
        <w:pStyle w:val="ListParagraph"/>
        <w:numPr>
          <w:ilvl w:val="0"/>
          <w:numId w:val="12"/>
        </w:numPr>
        <w:spacing w:after="0" w:line="240" w:lineRule="auto"/>
        <w:ind w:left="360"/>
        <w:jc w:val="both"/>
        <w:rPr>
          <w:szCs w:val="24"/>
        </w:rPr>
      </w:pPr>
      <w:r>
        <w:rPr>
          <w:szCs w:val="24"/>
        </w:rPr>
        <w:t>The</w:t>
      </w:r>
      <w:r w:rsidR="00CF46B4" w:rsidRPr="00AF4B68">
        <w:rPr>
          <w:szCs w:val="24"/>
        </w:rPr>
        <w:t xml:space="preserve"> amount of Rs 805.4 million (including interest) </w:t>
      </w:r>
      <w:r w:rsidR="00CF46B4">
        <w:rPr>
          <w:szCs w:val="24"/>
        </w:rPr>
        <w:t>that the Ministry had</w:t>
      </w:r>
      <w:r w:rsidR="00CF46B4" w:rsidRPr="00AF4B68">
        <w:rPr>
          <w:szCs w:val="24"/>
        </w:rPr>
        <w:t xml:space="preserve"> not</w:t>
      </w:r>
      <w:r w:rsidR="00E43BEE">
        <w:rPr>
          <w:szCs w:val="24"/>
        </w:rPr>
        <w:t xml:space="preserve"> </w:t>
      </w:r>
      <w:r w:rsidR="00CF46B4" w:rsidRPr="00AF4B68">
        <w:rPr>
          <w:szCs w:val="24"/>
        </w:rPr>
        <w:t xml:space="preserve">reported to the Accountant General </w:t>
      </w:r>
      <w:r w:rsidR="00CF46B4">
        <w:rPr>
          <w:szCs w:val="24"/>
        </w:rPr>
        <w:t>comprised the following:</w:t>
      </w:r>
    </w:p>
    <w:p w:rsidR="00CF46B4" w:rsidRPr="00A86C4B" w:rsidRDefault="00CF46B4" w:rsidP="00F8458B">
      <w:pPr>
        <w:pStyle w:val="ListParagraph"/>
        <w:numPr>
          <w:ilvl w:val="0"/>
          <w:numId w:val="27"/>
        </w:numPr>
        <w:spacing w:after="0" w:line="240" w:lineRule="auto"/>
        <w:jc w:val="both"/>
        <w:rPr>
          <w:szCs w:val="24"/>
        </w:rPr>
      </w:pPr>
      <w:r w:rsidRPr="00A86C4B">
        <w:rPr>
          <w:szCs w:val="24"/>
        </w:rPr>
        <w:lastRenderedPageBreak/>
        <w:t>26 lessees owed Rs 115.8 million and their leases had been cancelled. Any action for recovery of the arrears and status thereof were not known</w:t>
      </w:r>
      <w:r>
        <w:rPr>
          <w:szCs w:val="24"/>
        </w:rPr>
        <w:t>;</w:t>
      </w:r>
    </w:p>
    <w:p w:rsidR="00CF46B4" w:rsidRPr="00AF4B68" w:rsidRDefault="00CF46B4" w:rsidP="00CF46B4">
      <w:pPr>
        <w:pStyle w:val="ListParagraph"/>
        <w:tabs>
          <w:tab w:val="left" w:pos="720"/>
        </w:tabs>
        <w:spacing w:after="0" w:line="240" w:lineRule="auto"/>
        <w:ind w:left="742"/>
        <w:jc w:val="both"/>
        <w:rPr>
          <w:szCs w:val="24"/>
        </w:rPr>
      </w:pPr>
    </w:p>
    <w:p w:rsidR="00CF46B4" w:rsidRDefault="00CF46B4" w:rsidP="00F8458B">
      <w:pPr>
        <w:pStyle w:val="ListParagraph"/>
        <w:numPr>
          <w:ilvl w:val="0"/>
          <w:numId w:val="27"/>
        </w:numPr>
        <w:tabs>
          <w:tab w:val="left" w:pos="720"/>
        </w:tabs>
        <w:spacing w:after="0" w:line="240" w:lineRule="auto"/>
        <w:jc w:val="both"/>
        <w:rPr>
          <w:szCs w:val="24"/>
        </w:rPr>
      </w:pPr>
      <w:r w:rsidRPr="00AF4B68">
        <w:rPr>
          <w:szCs w:val="24"/>
        </w:rPr>
        <w:t xml:space="preserve">Nine lessees for a total </w:t>
      </w:r>
      <w:r>
        <w:rPr>
          <w:szCs w:val="24"/>
        </w:rPr>
        <w:t xml:space="preserve">of </w:t>
      </w:r>
      <w:r w:rsidRPr="00AF4B68">
        <w:rPr>
          <w:szCs w:val="24"/>
        </w:rPr>
        <w:t>Rs 436.8 million</w:t>
      </w:r>
      <w:r>
        <w:rPr>
          <w:szCs w:val="24"/>
        </w:rPr>
        <w:t xml:space="preserve"> </w:t>
      </w:r>
      <w:r w:rsidRPr="00AF4B68">
        <w:rPr>
          <w:szCs w:val="24"/>
        </w:rPr>
        <w:t xml:space="preserve">of arrears that </w:t>
      </w:r>
      <w:r>
        <w:rPr>
          <w:szCs w:val="24"/>
        </w:rPr>
        <w:t>the Ministry intended to write off;</w:t>
      </w:r>
      <w:r w:rsidRPr="00AF4B68">
        <w:rPr>
          <w:szCs w:val="24"/>
        </w:rPr>
        <w:t xml:space="preserve"> </w:t>
      </w:r>
    </w:p>
    <w:p w:rsidR="00CF46B4" w:rsidRPr="008C084B" w:rsidRDefault="00CF46B4" w:rsidP="008C084B">
      <w:pPr>
        <w:tabs>
          <w:tab w:val="left" w:pos="720"/>
        </w:tabs>
        <w:spacing w:after="0" w:line="240" w:lineRule="auto"/>
        <w:jc w:val="both"/>
        <w:rPr>
          <w:szCs w:val="24"/>
        </w:rPr>
      </w:pPr>
    </w:p>
    <w:p w:rsidR="00CF46B4" w:rsidRDefault="00CF46B4" w:rsidP="00F8458B">
      <w:pPr>
        <w:pStyle w:val="ListParagraph"/>
        <w:numPr>
          <w:ilvl w:val="0"/>
          <w:numId w:val="27"/>
        </w:numPr>
        <w:spacing w:after="0" w:line="240" w:lineRule="auto"/>
        <w:jc w:val="both"/>
        <w:rPr>
          <w:szCs w:val="24"/>
        </w:rPr>
      </w:pPr>
      <w:r w:rsidRPr="00AF4B68">
        <w:rPr>
          <w:szCs w:val="24"/>
        </w:rPr>
        <w:t xml:space="preserve">33 lessees who owed Rs 241.1 million on account of </w:t>
      </w:r>
      <w:proofErr w:type="spellStart"/>
      <w:r w:rsidRPr="00AF4B68">
        <w:rPr>
          <w:szCs w:val="24"/>
        </w:rPr>
        <w:t>campement</w:t>
      </w:r>
      <w:proofErr w:type="spellEnd"/>
      <w:r w:rsidRPr="00AF4B68">
        <w:rPr>
          <w:szCs w:val="24"/>
        </w:rPr>
        <w:t xml:space="preserve"> sites, industrial and other leases as at 30 June 2017, have not signed their lease agreement</w:t>
      </w:r>
      <w:r>
        <w:rPr>
          <w:szCs w:val="24"/>
        </w:rPr>
        <w:t>s</w:t>
      </w:r>
      <w:r w:rsidRPr="00AF4B68">
        <w:rPr>
          <w:szCs w:val="24"/>
        </w:rPr>
        <w:t xml:space="preserve">. </w:t>
      </w:r>
      <w:r>
        <w:rPr>
          <w:szCs w:val="24"/>
        </w:rPr>
        <w:t xml:space="preserve">Most of them </w:t>
      </w:r>
      <w:r w:rsidRPr="00334164">
        <w:rPr>
          <w:szCs w:val="24"/>
        </w:rPr>
        <w:t>had opted for 60 years’ lease</w:t>
      </w:r>
      <w:r>
        <w:rPr>
          <w:szCs w:val="24"/>
        </w:rPr>
        <w:t>s</w:t>
      </w:r>
      <w:r w:rsidRPr="00334164">
        <w:rPr>
          <w:szCs w:val="24"/>
        </w:rPr>
        <w:t>.</w:t>
      </w:r>
      <w:r w:rsidRPr="00AF4B68">
        <w:rPr>
          <w:szCs w:val="24"/>
        </w:rPr>
        <w:t xml:space="preserve"> </w:t>
      </w:r>
    </w:p>
    <w:p w:rsidR="00CF46B4" w:rsidRPr="00567310" w:rsidRDefault="00CF46B4" w:rsidP="00CF46B4">
      <w:pPr>
        <w:pStyle w:val="ListParagraph"/>
        <w:spacing w:after="0" w:line="240" w:lineRule="auto"/>
        <w:rPr>
          <w:szCs w:val="24"/>
        </w:rPr>
      </w:pPr>
    </w:p>
    <w:p w:rsidR="00CF46B4" w:rsidRDefault="00CF46B4" w:rsidP="00F8458B">
      <w:pPr>
        <w:pStyle w:val="ListParagraph"/>
        <w:numPr>
          <w:ilvl w:val="0"/>
          <w:numId w:val="27"/>
        </w:numPr>
        <w:spacing w:after="0" w:line="240" w:lineRule="auto"/>
        <w:jc w:val="both"/>
        <w:rPr>
          <w:szCs w:val="24"/>
        </w:rPr>
      </w:pPr>
      <w:r w:rsidRPr="00334164">
        <w:rPr>
          <w:szCs w:val="24"/>
        </w:rPr>
        <w:t>Rs 11.7 million</w:t>
      </w:r>
      <w:r>
        <w:rPr>
          <w:szCs w:val="24"/>
        </w:rPr>
        <w:t xml:space="preserve"> due by </w:t>
      </w:r>
      <w:r w:rsidRPr="00334164">
        <w:rPr>
          <w:szCs w:val="24"/>
        </w:rPr>
        <w:t>11</w:t>
      </w:r>
      <w:r>
        <w:rPr>
          <w:szCs w:val="24"/>
        </w:rPr>
        <w:t xml:space="preserve"> </w:t>
      </w:r>
      <w:r w:rsidRPr="00334164">
        <w:rPr>
          <w:szCs w:val="24"/>
        </w:rPr>
        <w:t>other lessees</w:t>
      </w:r>
      <w:r>
        <w:rPr>
          <w:szCs w:val="24"/>
        </w:rPr>
        <w:t>.</w:t>
      </w:r>
      <w:r w:rsidRPr="00334164">
        <w:rPr>
          <w:szCs w:val="24"/>
        </w:rPr>
        <w:t xml:space="preserve"> </w:t>
      </w:r>
    </w:p>
    <w:p w:rsidR="004E2FBA" w:rsidRDefault="004E2FBA" w:rsidP="004E2FBA">
      <w:pPr>
        <w:spacing w:after="0" w:line="240" w:lineRule="auto"/>
        <w:ind w:left="360"/>
        <w:jc w:val="both"/>
        <w:rPr>
          <w:szCs w:val="24"/>
        </w:rPr>
      </w:pPr>
    </w:p>
    <w:p w:rsidR="004E2FBA" w:rsidRPr="004E2FBA" w:rsidRDefault="004E2FBA" w:rsidP="004E2FBA">
      <w:pPr>
        <w:pStyle w:val="ListParagraph"/>
        <w:numPr>
          <w:ilvl w:val="0"/>
          <w:numId w:val="31"/>
        </w:numPr>
        <w:spacing w:after="0" w:line="240" w:lineRule="auto"/>
        <w:ind w:left="360"/>
        <w:jc w:val="both"/>
        <w:rPr>
          <w:szCs w:val="24"/>
        </w:rPr>
      </w:pPr>
      <w:r w:rsidRPr="004E2FBA">
        <w:rPr>
          <w:szCs w:val="24"/>
        </w:rPr>
        <w:t xml:space="preserve">The collection report for the year ended 30 June 2017, </w:t>
      </w:r>
      <w:proofErr w:type="spellStart"/>
      <w:r w:rsidRPr="004E2FBA">
        <w:rPr>
          <w:szCs w:val="24"/>
        </w:rPr>
        <w:t>totalling</w:t>
      </w:r>
      <w:proofErr w:type="spellEnd"/>
      <w:r w:rsidRPr="004E2FBA">
        <w:rPr>
          <w:szCs w:val="24"/>
        </w:rPr>
        <w:t xml:space="preserve"> Rs 1,025 million, was not </w:t>
      </w:r>
      <w:proofErr w:type="spellStart"/>
      <w:r w:rsidRPr="004E2FBA">
        <w:rPr>
          <w:szCs w:val="24"/>
        </w:rPr>
        <w:t>analysed</w:t>
      </w:r>
      <w:proofErr w:type="spellEnd"/>
      <w:r w:rsidRPr="004E2FBA">
        <w:rPr>
          <w:szCs w:val="24"/>
        </w:rPr>
        <w:t xml:space="preserve"> to show collections for current and prior periods;</w:t>
      </w:r>
    </w:p>
    <w:p w:rsidR="00CF46B4" w:rsidRDefault="00CF46B4" w:rsidP="00CF46B4">
      <w:pPr>
        <w:spacing w:after="0" w:line="240" w:lineRule="auto"/>
        <w:jc w:val="both"/>
        <w:rPr>
          <w:szCs w:val="24"/>
        </w:rPr>
      </w:pPr>
    </w:p>
    <w:p w:rsidR="00372A02" w:rsidRDefault="00372A02" w:rsidP="00CF46B4">
      <w:pPr>
        <w:spacing w:after="0" w:line="240" w:lineRule="auto"/>
        <w:jc w:val="both"/>
        <w:rPr>
          <w:szCs w:val="24"/>
        </w:rPr>
      </w:pPr>
      <w:r>
        <w:rPr>
          <w:szCs w:val="24"/>
        </w:rPr>
        <w:t xml:space="preserve">I was informed that </w:t>
      </w:r>
      <w:proofErr w:type="spellStart"/>
      <w:r>
        <w:rPr>
          <w:szCs w:val="24"/>
        </w:rPr>
        <w:t>campement</w:t>
      </w:r>
      <w:proofErr w:type="spellEnd"/>
      <w:r>
        <w:rPr>
          <w:szCs w:val="24"/>
        </w:rPr>
        <w:t xml:space="preserve"> site leases not yet signed have not been included in the list of arrears as rental becomes due on the date of signature of lease.</w:t>
      </w:r>
    </w:p>
    <w:p w:rsidR="00372A02" w:rsidRPr="00E7561F" w:rsidRDefault="00372A02" w:rsidP="00CF46B4">
      <w:pPr>
        <w:spacing w:after="0" w:line="240" w:lineRule="auto"/>
        <w:jc w:val="both"/>
        <w:rPr>
          <w:szCs w:val="24"/>
        </w:rPr>
      </w:pPr>
    </w:p>
    <w:p w:rsidR="00CF46B4" w:rsidRDefault="008C084B" w:rsidP="00CF46B4">
      <w:pPr>
        <w:spacing w:after="0" w:line="240" w:lineRule="auto"/>
        <w:jc w:val="both"/>
        <w:rPr>
          <w:b/>
          <w:i/>
          <w:szCs w:val="24"/>
        </w:rPr>
      </w:pPr>
      <w:r>
        <w:rPr>
          <w:b/>
          <w:i/>
          <w:szCs w:val="24"/>
        </w:rPr>
        <w:t>4.</w:t>
      </w:r>
      <w:r w:rsidR="00CF46B4">
        <w:rPr>
          <w:b/>
          <w:i/>
          <w:szCs w:val="24"/>
        </w:rPr>
        <w:t>8.1</w:t>
      </w:r>
      <w:r w:rsidR="00CF46B4">
        <w:rPr>
          <w:b/>
          <w:i/>
          <w:szCs w:val="24"/>
        </w:rPr>
        <w:tab/>
      </w:r>
      <w:r w:rsidR="00CF46B4" w:rsidRPr="00AF4B68">
        <w:rPr>
          <w:b/>
          <w:i/>
          <w:szCs w:val="24"/>
        </w:rPr>
        <w:t>Long Outstanding Debtors -</w:t>
      </w:r>
      <w:r w:rsidR="00CF46B4">
        <w:rPr>
          <w:b/>
          <w:i/>
          <w:szCs w:val="24"/>
        </w:rPr>
        <w:t xml:space="preserve"> </w:t>
      </w:r>
      <w:r w:rsidR="00CF46B4" w:rsidRPr="00AF4B68">
        <w:rPr>
          <w:b/>
          <w:i/>
          <w:szCs w:val="24"/>
        </w:rPr>
        <w:t>Rs 436.8 million</w:t>
      </w:r>
    </w:p>
    <w:p w:rsidR="00CF46B4" w:rsidRPr="00AF4B68" w:rsidRDefault="00CF46B4" w:rsidP="00CF46B4">
      <w:pPr>
        <w:spacing w:after="0" w:line="240" w:lineRule="auto"/>
        <w:jc w:val="both"/>
        <w:rPr>
          <w:b/>
          <w:i/>
          <w:szCs w:val="24"/>
        </w:rPr>
      </w:pPr>
    </w:p>
    <w:p w:rsidR="00CF46B4" w:rsidRPr="00AF4B68" w:rsidRDefault="00CF46B4" w:rsidP="00CF46B4">
      <w:pPr>
        <w:pStyle w:val="ListParagraph"/>
        <w:autoSpaceDE w:val="0"/>
        <w:autoSpaceDN w:val="0"/>
        <w:adjustRightInd w:val="0"/>
        <w:spacing w:after="0" w:line="240" w:lineRule="auto"/>
        <w:ind w:left="0"/>
        <w:jc w:val="both"/>
        <w:rPr>
          <w:szCs w:val="24"/>
        </w:rPr>
      </w:pPr>
      <w:r w:rsidRPr="00AF4B68">
        <w:rPr>
          <w:szCs w:val="24"/>
        </w:rPr>
        <w:t xml:space="preserve">Between July 2008 and </w:t>
      </w:r>
      <w:r>
        <w:rPr>
          <w:szCs w:val="24"/>
        </w:rPr>
        <w:t xml:space="preserve">July 2016, seven private companies </w:t>
      </w:r>
      <w:r w:rsidRPr="00AF4B68">
        <w:rPr>
          <w:szCs w:val="24"/>
        </w:rPr>
        <w:t xml:space="preserve">owed the Ministry a total of </w:t>
      </w:r>
      <w:r>
        <w:rPr>
          <w:szCs w:val="24"/>
        </w:rPr>
        <w:br/>
        <w:t xml:space="preserve">Rs </w:t>
      </w:r>
      <w:r w:rsidRPr="00AF4B68">
        <w:rPr>
          <w:szCs w:val="24"/>
        </w:rPr>
        <w:t>436.8 million as at 30 June 2017</w:t>
      </w:r>
      <w:r>
        <w:rPr>
          <w:szCs w:val="24"/>
        </w:rPr>
        <w:t>,</w:t>
      </w:r>
      <w:r w:rsidRPr="00AF4B68">
        <w:rPr>
          <w:szCs w:val="24"/>
        </w:rPr>
        <w:t xml:space="preserve"> for nine leases. The </w:t>
      </w:r>
      <w:r>
        <w:rPr>
          <w:szCs w:val="24"/>
        </w:rPr>
        <w:t xml:space="preserve">Ministry has sought advice of </w:t>
      </w:r>
      <w:r w:rsidRPr="00AF4B68">
        <w:rPr>
          <w:szCs w:val="24"/>
        </w:rPr>
        <w:t>the Director of Internal Control on 9 October 2017</w:t>
      </w:r>
      <w:r>
        <w:rPr>
          <w:szCs w:val="24"/>
        </w:rPr>
        <w:t>,</w:t>
      </w:r>
      <w:r w:rsidRPr="00AF4B68">
        <w:rPr>
          <w:szCs w:val="24"/>
        </w:rPr>
        <w:t xml:space="preserve"> as to whether the debts may be written off.</w:t>
      </w:r>
    </w:p>
    <w:p w:rsidR="00CF46B4" w:rsidRPr="00AF4B68" w:rsidRDefault="00CF46B4" w:rsidP="00CF46B4">
      <w:pPr>
        <w:pStyle w:val="ListParagraph"/>
        <w:autoSpaceDE w:val="0"/>
        <w:autoSpaceDN w:val="0"/>
        <w:adjustRightInd w:val="0"/>
        <w:spacing w:after="0" w:line="240" w:lineRule="auto"/>
        <w:ind w:left="0"/>
        <w:jc w:val="both"/>
        <w:rPr>
          <w:szCs w:val="24"/>
        </w:rPr>
      </w:pPr>
    </w:p>
    <w:p w:rsidR="00CF46B4" w:rsidRDefault="00CF46B4" w:rsidP="00CF46B4">
      <w:pPr>
        <w:pStyle w:val="ListParagraph"/>
        <w:numPr>
          <w:ilvl w:val="0"/>
          <w:numId w:val="11"/>
        </w:numPr>
        <w:autoSpaceDE w:val="0"/>
        <w:autoSpaceDN w:val="0"/>
        <w:adjustRightInd w:val="0"/>
        <w:spacing w:after="0" w:line="240" w:lineRule="auto"/>
        <w:ind w:left="360"/>
        <w:jc w:val="both"/>
        <w:rPr>
          <w:szCs w:val="24"/>
        </w:rPr>
      </w:pPr>
      <w:r w:rsidRPr="00AF4B68">
        <w:rPr>
          <w:szCs w:val="24"/>
        </w:rPr>
        <w:t>The financial statements of six</w:t>
      </w:r>
      <w:r>
        <w:rPr>
          <w:szCs w:val="24"/>
        </w:rPr>
        <w:t xml:space="preserve"> of the c</w:t>
      </w:r>
      <w:r w:rsidR="004E2FBA">
        <w:rPr>
          <w:szCs w:val="24"/>
        </w:rPr>
        <w:t>ompanies did not show any Lease P</w:t>
      </w:r>
      <w:r w:rsidRPr="00AF4B68">
        <w:rPr>
          <w:szCs w:val="24"/>
        </w:rPr>
        <w:t xml:space="preserve">roperty under the Fixed Assets </w:t>
      </w:r>
      <w:r>
        <w:rPr>
          <w:szCs w:val="24"/>
        </w:rPr>
        <w:t>nor any rent due as Liabilities;</w:t>
      </w:r>
    </w:p>
    <w:p w:rsidR="00CF46B4" w:rsidRDefault="00CF46B4" w:rsidP="00CF46B4">
      <w:pPr>
        <w:pStyle w:val="ListParagraph"/>
        <w:autoSpaceDE w:val="0"/>
        <w:autoSpaceDN w:val="0"/>
        <w:adjustRightInd w:val="0"/>
        <w:spacing w:after="0" w:line="240" w:lineRule="auto"/>
        <w:ind w:left="360"/>
        <w:jc w:val="both"/>
        <w:rPr>
          <w:szCs w:val="24"/>
        </w:rPr>
      </w:pPr>
    </w:p>
    <w:p w:rsidR="00CF46B4" w:rsidRDefault="00CF46B4" w:rsidP="00CF46B4">
      <w:pPr>
        <w:pStyle w:val="ListParagraph"/>
        <w:numPr>
          <w:ilvl w:val="0"/>
          <w:numId w:val="10"/>
        </w:numPr>
        <w:autoSpaceDE w:val="0"/>
        <w:autoSpaceDN w:val="0"/>
        <w:adjustRightInd w:val="0"/>
        <w:spacing w:after="0" w:line="240" w:lineRule="auto"/>
        <w:ind w:left="360"/>
        <w:jc w:val="both"/>
        <w:rPr>
          <w:szCs w:val="24"/>
        </w:rPr>
      </w:pPr>
      <w:r w:rsidRPr="00F05C14">
        <w:rPr>
          <w:szCs w:val="24"/>
        </w:rPr>
        <w:t>Three of the companies having a lease agreement drawn between 20</w:t>
      </w:r>
      <w:r w:rsidR="004E2FBA">
        <w:rPr>
          <w:szCs w:val="24"/>
        </w:rPr>
        <w:t>06 and 2009 and one of them having a LOI</w:t>
      </w:r>
      <w:r w:rsidRPr="00F05C14">
        <w:rPr>
          <w:szCs w:val="24"/>
        </w:rPr>
        <w:t xml:space="preserve"> since 2011, owed rent totaling Rs 139 million since July 2009. These three companies are active, as per records of the </w:t>
      </w:r>
      <w:r>
        <w:rPr>
          <w:szCs w:val="24"/>
        </w:rPr>
        <w:t>Corporate and Business Registration Department (CBRD)</w:t>
      </w:r>
      <w:r w:rsidRPr="00F05C14">
        <w:rPr>
          <w:szCs w:val="24"/>
        </w:rPr>
        <w:t xml:space="preserve">. Two of them have filed their latest annual return of </w:t>
      </w:r>
      <w:r w:rsidR="000A26BA">
        <w:rPr>
          <w:szCs w:val="24"/>
        </w:rPr>
        <w:br/>
      </w:r>
      <w:r w:rsidRPr="00F05C14">
        <w:rPr>
          <w:szCs w:val="24"/>
        </w:rPr>
        <w:t xml:space="preserve">31 December 2016 with the </w:t>
      </w:r>
      <w:r>
        <w:rPr>
          <w:szCs w:val="24"/>
        </w:rPr>
        <w:t>CBRD</w:t>
      </w:r>
      <w:r w:rsidRPr="00F05C14">
        <w:rPr>
          <w:szCs w:val="24"/>
        </w:rPr>
        <w:t xml:space="preserve">, and the third one for the year ended 30 June 2014 when its Stated Share Capital amounted to Rs 264.1 million; </w:t>
      </w:r>
    </w:p>
    <w:p w:rsidR="00CF46B4" w:rsidRDefault="00CF46B4" w:rsidP="00CF46B4">
      <w:pPr>
        <w:pStyle w:val="ListParagraph"/>
        <w:autoSpaceDE w:val="0"/>
        <w:autoSpaceDN w:val="0"/>
        <w:adjustRightInd w:val="0"/>
        <w:spacing w:after="0" w:line="240" w:lineRule="auto"/>
        <w:ind w:left="360"/>
        <w:jc w:val="both"/>
        <w:rPr>
          <w:szCs w:val="24"/>
        </w:rPr>
      </w:pPr>
    </w:p>
    <w:p w:rsidR="00CF46B4" w:rsidRDefault="00CF46B4" w:rsidP="00CF46B4">
      <w:pPr>
        <w:pStyle w:val="ListParagraph"/>
        <w:numPr>
          <w:ilvl w:val="0"/>
          <w:numId w:val="10"/>
        </w:numPr>
        <w:autoSpaceDE w:val="0"/>
        <w:autoSpaceDN w:val="0"/>
        <w:adjustRightInd w:val="0"/>
        <w:spacing w:after="0" w:line="240" w:lineRule="auto"/>
        <w:ind w:left="360"/>
        <w:jc w:val="both"/>
        <w:rPr>
          <w:szCs w:val="24"/>
        </w:rPr>
      </w:pPr>
      <w:r w:rsidRPr="00F05C14">
        <w:rPr>
          <w:szCs w:val="24"/>
        </w:rPr>
        <w:t xml:space="preserve">The Ministry issued </w:t>
      </w:r>
      <w:r>
        <w:rPr>
          <w:szCs w:val="24"/>
        </w:rPr>
        <w:t>Letters of I</w:t>
      </w:r>
      <w:r w:rsidRPr="00F05C14">
        <w:rPr>
          <w:szCs w:val="24"/>
        </w:rPr>
        <w:t xml:space="preserve">ntent to three other </w:t>
      </w:r>
      <w:r>
        <w:rPr>
          <w:szCs w:val="24"/>
        </w:rPr>
        <w:t>c</w:t>
      </w:r>
      <w:r w:rsidRPr="00F05C14">
        <w:rPr>
          <w:szCs w:val="24"/>
        </w:rPr>
        <w:t xml:space="preserve">ompanies between 2006 and 2010 and they owed a total of Rs 116.5 million as at 30 June 2017. These three Companies are ‘Active’ as per records of the </w:t>
      </w:r>
      <w:r>
        <w:rPr>
          <w:szCs w:val="24"/>
        </w:rPr>
        <w:t>CBRD</w:t>
      </w:r>
      <w:r w:rsidRPr="00F05C14">
        <w:rPr>
          <w:szCs w:val="24"/>
        </w:rPr>
        <w:t>. Two of them ha</w:t>
      </w:r>
      <w:r>
        <w:rPr>
          <w:szCs w:val="24"/>
        </w:rPr>
        <w:t>d</w:t>
      </w:r>
      <w:r w:rsidRPr="00F05C14">
        <w:rPr>
          <w:szCs w:val="24"/>
        </w:rPr>
        <w:t xml:space="preserve"> filed their latest annual return of 30 June 2016 with the </w:t>
      </w:r>
      <w:r>
        <w:rPr>
          <w:szCs w:val="24"/>
        </w:rPr>
        <w:t>CBRD</w:t>
      </w:r>
      <w:r w:rsidRPr="00F05C14">
        <w:rPr>
          <w:szCs w:val="24"/>
        </w:rPr>
        <w:t xml:space="preserve">. The third one </w:t>
      </w:r>
      <w:r>
        <w:rPr>
          <w:szCs w:val="24"/>
        </w:rPr>
        <w:t xml:space="preserve">has </w:t>
      </w:r>
      <w:r w:rsidRPr="00F05C14">
        <w:rPr>
          <w:szCs w:val="24"/>
        </w:rPr>
        <w:t xml:space="preserve">filed its annual return </w:t>
      </w:r>
      <w:r>
        <w:rPr>
          <w:szCs w:val="24"/>
        </w:rPr>
        <w:t>for financial year ending</w:t>
      </w:r>
      <w:r w:rsidRPr="00F05C14">
        <w:rPr>
          <w:szCs w:val="24"/>
        </w:rPr>
        <w:t xml:space="preserve"> 31 December 2015 </w:t>
      </w:r>
      <w:r>
        <w:rPr>
          <w:szCs w:val="24"/>
        </w:rPr>
        <w:t xml:space="preserve">and which also showed </w:t>
      </w:r>
      <w:r w:rsidRPr="00F05C14">
        <w:rPr>
          <w:szCs w:val="24"/>
        </w:rPr>
        <w:t xml:space="preserve">a turnover of </w:t>
      </w:r>
      <w:r w:rsidR="00DE04DB">
        <w:rPr>
          <w:szCs w:val="24"/>
        </w:rPr>
        <w:br/>
      </w:r>
      <w:r w:rsidRPr="00F05C14">
        <w:rPr>
          <w:szCs w:val="24"/>
        </w:rPr>
        <w:t>Rs 828.4 million</w:t>
      </w:r>
      <w:r>
        <w:rPr>
          <w:szCs w:val="24"/>
        </w:rPr>
        <w:t>;</w:t>
      </w:r>
    </w:p>
    <w:p w:rsidR="00CF46B4" w:rsidRPr="00F05C14" w:rsidRDefault="00CF46B4" w:rsidP="00CF46B4">
      <w:pPr>
        <w:pStyle w:val="ListParagraph"/>
        <w:spacing w:after="0" w:line="240" w:lineRule="auto"/>
        <w:rPr>
          <w:szCs w:val="24"/>
        </w:rPr>
      </w:pPr>
    </w:p>
    <w:p w:rsidR="00F8458B" w:rsidRPr="00372A02" w:rsidRDefault="00CF46B4" w:rsidP="000A26BA">
      <w:pPr>
        <w:pStyle w:val="ListParagraph"/>
        <w:numPr>
          <w:ilvl w:val="0"/>
          <w:numId w:val="10"/>
        </w:numPr>
        <w:tabs>
          <w:tab w:val="left" w:pos="709"/>
          <w:tab w:val="left" w:pos="3828"/>
        </w:tabs>
        <w:spacing w:after="0" w:line="240" w:lineRule="auto"/>
        <w:ind w:left="360"/>
        <w:jc w:val="both"/>
        <w:rPr>
          <w:b/>
          <w:szCs w:val="24"/>
        </w:rPr>
      </w:pPr>
      <w:r w:rsidRPr="000A26BA">
        <w:rPr>
          <w:szCs w:val="24"/>
        </w:rPr>
        <w:t xml:space="preserve">One Company was issued a Letter of Intent in 2009 for two projects, involving two plots of </w:t>
      </w:r>
      <w:r w:rsidR="004E2FBA">
        <w:rPr>
          <w:szCs w:val="24"/>
        </w:rPr>
        <w:t>land for an extent of 70A</w:t>
      </w:r>
      <w:r w:rsidRPr="000A26BA">
        <w:rPr>
          <w:szCs w:val="24"/>
        </w:rPr>
        <w:t xml:space="preserve">. However, it had never paid rent since July 2009 </w:t>
      </w:r>
      <w:proofErr w:type="spellStart"/>
      <w:r w:rsidRPr="000A26BA">
        <w:rPr>
          <w:szCs w:val="24"/>
        </w:rPr>
        <w:t>totalling</w:t>
      </w:r>
      <w:proofErr w:type="spellEnd"/>
      <w:r w:rsidRPr="000A26BA">
        <w:rPr>
          <w:szCs w:val="24"/>
        </w:rPr>
        <w:t xml:space="preserve"> Rs 181.3 million. No return was available at the CBRD and no action was taken for the recovery of the debt.</w:t>
      </w:r>
    </w:p>
    <w:p w:rsidR="002F1AAF" w:rsidRDefault="002F1AAF">
      <w:pPr>
        <w:rPr>
          <w:b/>
          <w:szCs w:val="24"/>
        </w:rPr>
      </w:pPr>
      <w:r>
        <w:rPr>
          <w:b/>
          <w:szCs w:val="24"/>
        </w:rPr>
        <w:br w:type="page"/>
      </w:r>
    </w:p>
    <w:p w:rsidR="00CF46B4" w:rsidRPr="003E7F8E" w:rsidRDefault="00CF46B4" w:rsidP="00CF46B4">
      <w:pPr>
        <w:pStyle w:val="ListParagraph"/>
        <w:spacing w:after="0" w:line="240" w:lineRule="auto"/>
        <w:ind w:left="0"/>
        <w:jc w:val="both"/>
        <w:rPr>
          <w:b/>
          <w:i/>
          <w:szCs w:val="24"/>
        </w:rPr>
      </w:pPr>
      <w:r w:rsidRPr="003E7F8E">
        <w:rPr>
          <w:b/>
          <w:i/>
          <w:szCs w:val="24"/>
        </w:rPr>
        <w:lastRenderedPageBreak/>
        <w:t>Recommendation</w:t>
      </w:r>
      <w:r w:rsidR="00E7633C">
        <w:rPr>
          <w:b/>
          <w:i/>
          <w:szCs w:val="24"/>
        </w:rPr>
        <w:t>s</w:t>
      </w:r>
    </w:p>
    <w:p w:rsidR="00CF46B4" w:rsidRPr="000E5D8A" w:rsidRDefault="00CF46B4" w:rsidP="00CF46B4">
      <w:pPr>
        <w:spacing w:after="0" w:line="240" w:lineRule="auto"/>
        <w:jc w:val="both"/>
        <w:rPr>
          <w:szCs w:val="24"/>
        </w:rPr>
      </w:pPr>
    </w:p>
    <w:p w:rsidR="00CF46B4" w:rsidRDefault="00CF46B4" w:rsidP="00CF46B4">
      <w:pPr>
        <w:pStyle w:val="ListParagraph"/>
        <w:numPr>
          <w:ilvl w:val="0"/>
          <w:numId w:val="13"/>
        </w:numPr>
        <w:spacing w:after="0" w:line="240" w:lineRule="auto"/>
        <w:jc w:val="both"/>
        <w:rPr>
          <w:szCs w:val="24"/>
        </w:rPr>
      </w:pPr>
      <w:r>
        <w:rPr>
          <w:szCs w:val="24"/>
        </w:rPr>
        <w:t>The fact that the C</w:t>
      </w:r>
      <w:r w:rsidRPr="00AF4B68">
        <w:rPr>
          <w:szCs w:val="24"/>
        </w:rPr>
        <w:t xml:space="preserve">ompanies are active at the level of </w:t>
      </w:r>
      <w:r>
        <w:rPr>
          <w:szCs w:val="24"/>
        </w:rPr>
        <w:t>CBRD</w:t>
      </w:r>
      <w:r w:rsidRPr="00AF4B68">
        <w:rPr>
          <w:szCs w:val="24"/>
        </w:rPr>
        <w:t>, the Ministry sh</w:t>
      </w:r>
      <w:r>
        <w:rPr>
          <w:szCs w:val="24"/>
        </w:rPr>
        <w:t>ould</w:t>
      </w:r>
      <w:r w:rsidRPr="00AF4B68">
        <w:rPr>
          <w:szCs w:val="24"/>
        </w:rPr>
        <w:t xml:space="preserve"> initiate legal action for recovery of all dues</w:t>
      </w:r>
      <w:r>
        <w:rPr>
          <w:szCs w:val="24"/>
        </w:rPr>
        <w:t>;</w:t>
      </w:r>
      <w:r w:rsidRPr="00AF4B68">
        <w:rPr>
          <w:szCs w:val="24"/>
        </w:rPr>
        <w:t xml:space="preserve"> </w:t>
      </w:r>
    </w:p>
    <w:p w:rsidR="00CF46B4" w:rsidRPr="00300ED4" w:rsidRDefault="00CF46B4" w:rsidP="00CF46B4">
      <w:pPr>
        <w:pStyle w:val="ListParagraph"/>
        <w:spacing w:after="0" w:line="240" w:lineRule="auto"/>
        <w:rPr>
          <w:szCs w:val="24"/>
        </w:rPr>
      </w:pPr>
    </w:p>
    <w:p w:rsidR="00CF46B4" w:rsidRDefault="00CF46B4" w:rsidP="00CF46B4">
      <w:pPr>
        <w:pStyle w:val="ListParagraph"/>
        <w:numPr>
          <w:ilvl w:val="0"/>
          <w:numId w:val="13"/>
        </w:numPr>
        <w:spacing w:after="0" w:line="240" w:lineRule="auto"/>
        <w:jc w:val="both"/>
        <w:rPr>
          <w:szCs w:val="24"/>
        </w:rPr>
      </w:pPr>
      <w:r>
        <w:rPr>
          <w:szCs w:val="24"/>
        </w:rPr>
        <w:t>The Ministry should promptly follow up all cases where LOR and LOI are</w:t>
      </w:r>
      <w:r w:rsidR="00E43BEE">
        <w:rPr>
          <w:szCs w:val="24"/>
        </w:rPr>
        <w:t xml:space="preserve"> </w:t>
      </w:r>
      <w:r>
        <w:rPr>
          <w:szCs w:val="24"/>
        </w:rPr>
        <w:t>issued and ensure that lease agreements, where applicable are signed within reasonable time;</w:t>
      </w:r>
    </w:p>
    <w:p w:rsidR="00CF46B4" w:rsidRPr="00781B91" w:rsidRDefault="00CF46B4" w:rsidP="00CF46B4">
      <w:pPr>
        <w:pStyle w:val="ListParagraph"/>
        <w:rPr>
          <w:szCs w:val="24"/>
        </w:rPr>
      </w:pPr>
    </w:p>
    <w:p w:rsidR="004E2FBA" w:rsidRDefault="00CF46B4" w:rsidP="008C084B">
      <w:pPr>
        <w:pStyle w:val="ListParagraph"/>
        <w:numPr>
          <w:ilvl w:val="0"/>
          <w:numId w:val="13"/>
        </w:numPr>
        <w:spacing w:after="0" w:line="240" w:lineRule="auto"/>
        <w:jc w:val="both"/>
        <w:rPr>
          <w:szCs w:val="24"/>
        </w:rPr>
      </w:pPr>
      <w:r w:rsidRPr="004E2FBA">
        <w:rPr>
          <w:szCs w:val="24"/>
        </w:rPr>
        <w:t xml:space="preserve"> Dete</w:t>
      </w:r>
      <w:r w:rsidR="004E2FBA" w:rsidRPr="004E2FBA">
        <w:rPr>
          <w:szCs w:val="24"/>
        </w:rPr>
        <w:t>rrent measures should be includ</w:t>
      </w:r>
      <w:r w:rsidRPr="004E2FBA">
        <w:rPr>
          <w:szCs w:val="24"/>
        </w:rPr>
        <w:t>ed specifically in the LOR or LOI or lease agreements. Where lease agreements are not being sig</w:t>
      </w:r>
      <w:r w:rsidR="004E2FBA" w:rsidRPr="004E2FBA">
        <w:rPr>
          <w:szCs w:val="24"/>
        </w:rPr>
        <w:t>ned promptly, the Ministry should</w:t>
      </w:r>
      <w:r w:rsidRPr="004E2FBA">
        <w:rPr>
          <w:szCs w:val="24"/>
        </w:rPr>
        <w:t xml:space="preserve"> closely follow up the matter and act accordingly.</w:t>
      </w:r>
    </w:p>
    <w:p w:rsidR="00CF46B4" w:rsidRPr="004E2FBA" w:rsidRDefault="00CF46B4" w:rsidP="004E2FBA">
      <w:pPr>
        <w:spacing w:after="0" w:line="240" w:lineRule="auto"/>
        <w:jc w:val="both"/>
        <w:rPr>
          <w:szCs w:val="24"/>
        </w:rPr>
      </w:pPr>
    </w:p>
    <w:p w:rsidR="00CF46B4" w:rsidRPr="000E5D8A" w:rsidRDefault="00CF46B4" w:rsidP="00CF46B4">
      <w:pPr>
        <w:spacing w:after="0" w:line="240" w:lineRule="auto"/>
        <w:jc w:val="both"/>
        <w:rPr>
          <w:b/>
          <w:i/>
          <w:szCs w:val="24"/>
        </w:rPr>
      </w:pPr>
      <w:r w:rsidRPr="000E5D8A">
        <w:rPr>
          <w:b/>
          <w:i/>
          <w:szCs w:val="24"/>
        </w:rPr>
        <w:t>Ministry’s Reply</w:t>
      </w:r>
    </w:p>
    <w:p w:rsidR="00CF46B4" w:rsidRDefault="00CF46B4" w:rsidP="00CF46B4">
      <w:pPr>
        <w:pStyle w:val="ListParagraph"/>
        <w:spacing w:after="0" w:line="240" w:lineRule="auto"/>
        <w:ind w:left="360"/>
        <w:jc w:val="both"/>
        <w:rPr>
          <w:szCs w:val="24"/>
        </w:rPr>
      </w:pPr>
    </w:p>
    <w:p w:rsidR="00CF46B4" w:rsidRDefault="00CF46B4" w:rsidP="00CF46B4">
      <w:pPr>
        <w:pStyle w:val="ListParagraph"/>
        <w:numPr>
          <w:ilvl w:val="0"/>
          <w:numId w:val="13"/>
        </w:numPr>
        <w:spacing w:after="0" w:line="240" w:lineRule="auto"/>
        <w:jc w:val="both"/>
      </w:pPr>
      <w:r w:rsidRPr="009603AA">
        <w:t>Necessary action will be taken to ensure that information relevant to debt management is maintained.</w:t>
      </w:r>
      <w:r w:rsidR="00E43BEE">
        <w:t xml:space="preserve"> </w:t>
      </w:r>
      <w:r w:rsidRPr="009603AA">
        <w:t>In this respect, the Revenue System of the Ministry has been upgraded to allow for comparison o</w:t>
      </w:r>
      <w:r>
        <w:t>f arrears for different periods;</w:t>
      </w:r>
    </w:p>
    <w:p w:rsidR="00CF46B4" w:rsidRPr="009603AA" w:rsidRDefault="00CF46B4" w:rsidP="00CF46B4">
      <w:pPr>
        <w:pStyle w:val="ListParagraph"/>
        <w:spacing w:after="0" w:line="240" w:lineRule="auto"/>
        <w:ind w:left="360"/>
        <w:jc w:val="both"/>
      </w:pPr>
    </w:p>
    <w:p w:rsidR="00CF46B4" w:rsidRPr="009603AA" w:rsidRDefault="00CF46B4" w:rsidP="00CF46B4">
      <w:pPr>
        <w:pStyle w:val="ListParagraph"/>
        <w:numPr>
          <w:ilvl w:val="0"/>
          <w:numId w:val="13"/>
        </w:numPr>
        <w:spacing w:after="0" w:line="240" w:lineRule="auto"/>
        <w:jc w:val="both"/>
      </w:pPr>
      <w:r w:rsidRPr="009603AA">
        <w:t>Action has been initiated by the SIL for upgrading the Revenue System to allow the generation of reports for prior year debtors.</w:t>
      </w:r>
    </w:p>
    <w:p w:rsidR="00CF46B4" w:rsidRPr="00AF4B68" w:rsidRDefault="00CF46B4" w:rsidP="00CF46B4">
      <w:pPr>
        <w:spacing w:after="0" w:line="240" w:lineRule="auto"/>
        <w:rPr>
          <w:b/>
          <w:szCs w:val="24"/>
        </w:rPr>
      </w:pPr>
    </w:p>
    <w:p w:rsidR="00BE5DAD" w:rsidRDefault="00BE5DAD" w:rsidP="008C084B">
      <w:pPr>
        <w:spacing w:after="0" w:line="240" w:lineRule="auto"/>
      </w:pPr>
    </w:p>
    <w:p w:rsidR="00CF46B4" w:rsidRDefault="008C084B" w:rsidP="00CF46B4">
      <w:pPr>
        <w:spacing w:after="0" w:line="240" w:lineRule="auto"/>
        <w:jc w:val="both"/>
        <w:rPr>
          <w:rFonts w:eastAsia="Arial Unicode MS"/>
          <w:b/>
          <w:szCs w:val="24"/>
          <w:lang w:val="en-GB"/>
        </w:rPr>
      </w:pPr>
      <w:r>
        <w:rPr>
          <w:rFonts w:eastAsia="Arial Unicode MS"/>
          <w:b/>
          <w:szCs w:val="24"/>
          <w:lang w:val="en-GB"/>
        </w:rPr>
        <w:t>4.9</w:t>
      </w:r>
      <w:r>
        <w:rPr>
          <w:rFonts w:eastAsia="Arial Unicode MS"/>
          <w:b/>
          <w:szCs w:val="24"/>
          <w:lang w:val="en-GB"/>
        </w:rPr>
        <w:tab/>
      </w:r>
      <w:r w:rsidR="00CF46B4">
        <w:rPr>
          <w:rFonts w:eastAsia="Arial Unicode MS"/>
          <w:b/>
          <w:szCs w:val="24"/>
          <w:lang w:val="en-GB"/>
        </w:rPr>
        <w:t>T</w:t>
      </w:r>
      <w:r w:rsidR="00CF46B4" w:rsidRPr="00C52D14">
        <w:rPr>
          <w:rFonts w:eastAsia="Arial Unicode MS"/>
          <w:b/>
          <w:szCs w:val="24"/>
          <w:lang w:val="en-GB"/>
        </w:rPr>
        <w:t xml:space="preserve">he </w:t>
      </w:r>
      <w:r w:rsidR="00CF46B4" w:rsidRPr="00BC667D">
        <w:rPr>
          <w:b/>
          <w:szCs w:val="24"/>
        </w:rPr>
        <w:t>Land Administration, Valuation and Information Management System</w:t>
      </w:r>
      <w:r w:rsidR="00CF46B4">
        <w:rPr>
          <w:rFonts w:eastAsia="Arial Unicode MS"/>
          <w:b/>
          <w:szCs w:val="24"/>
          <w:lang w:val="en-GB"/>
        </w:rPr>
        <w:t xml:space="preserve"> (LAVIMS) Project</w:t>
      </w:r>
    </w:p>
    <w:p w:rsidR="00CF46B4" w:rsidRPr="00C52D14" w:rsidRDefault="00CF46B4" w:rsidP="00CF46B4">
      <w:pPr>
        <w:spacing w:after="0" w:line="240" w:lineRule="auto"/>
        <w:jc w:val="both"/>
        <w:rPr>
          <w:rFonts w:eastAsia="Arial Unicode MS"/>
          <w:b/>
          <w:szCs w:val="24"/>
          <w:lang w:val="en-GB"/>
        </w:rPr>
      </w:pPr>
    </w:p>
    <w:p w:rsidR="00CF46B4" w:rsidRPr="00062142" w:rsidRDefault="00CF46B4" w:rsidP="00CF46B4">
      <w:pPr>
        <w:spacing w:after="0" w:line="240" w:lineRule="auto"/>
        <w:jc w:val="both"/>
        <w:rPr>
          <w:szCs w:val="24"/>
        </w:rPr>
      </w:pPr>
      <w:r w:rsidRPr="00062142">
        <w:rPr>
          <w:szCs w:val="24"/>
        </w:rPr>
        <w:t>The LAV</w:t>
      </w:r>
      <w:r>
        <w:rPr>
          <w:szCs w:val="24"/>
        </w:rPr>
        <w:t>IMS project mainly comprises the V</w:t>
      </w:r>
      <w:r w:rsidRPr="00062142">
        <w:rPr>
          <w:szCs w:val="24"/>
        </w:rPr>
        <w:t>aluation</w:t>
      </w:r>
      <w:r>
        <w:rPr>
          <w:szCs w:val="24"/>
        </w:rPr>
        <w:t xml:space="preserve">, </w:t>
      </w:r>
      <w:proofErr w:type="spellStart"/>
      <w:r>
        <w:rPr>
          <w:szCs w:val="24"/>
        </w:rPr>
        <w:t>C</w:t>
      </w:r>
      <w:r w:rsidRPr="00062142">
        <w:rPr>
          <w:szCs w:val="24"/>
        </w:rPr>
        <w:t>adastre</w:t>
      </w:r>
      <w:proofErr w:type="spellEnd"/>
      <w:r>
        <w:rPr>
          <w:szCs w:val="24"/>
        </w:rPr>
        <w:t xml:space="preserve">, </w:t>
      </w:r>
      <w:r w:rsidRPr="002769C1">
        <w:rPr>
          <w:szCs w:val="24"/>
        </w:rPr>
        <w:t xml:space="preserve">Deeds </w:t>
      </w:r>
      <w:r>
        <w:rPr>
          <w:szCs w:val="24"/>
        </w:rPr>
        <w:t>R</w:t>
      </w:r>
      <w:r w:rsidRPr="002769C1">
        <w:rPr>
          <w:szCs w:val="24"/>
        </w:rPr>
        <w:t>egistration</w:t>
      </w:r>
      <w:r>
        <w:rPr>
          <w:szCs w:val="24"/>
        </w:rPr>
        <w:t xml:space="preserve"> and a</w:t>
      </w:r>
      <w:r w:rsidRPr="00062142">
        <w:rPr>
          <w:szCs w:val="24"/>
        </w:rPr>
        <w:t xml:space="preserve">n Information Management System </w:t>
      </w:r>
      <w:r>
        <w:rPr>
          <w:szCs w:val="24"/>
        </w:rPr>
        <w:t>components.</w:t>
      </w:r>
      <w:r w:rsidRPr="00062142">
        <w:rPr>
          <w:szCs w:val="24"/>
        </w:rPr>
        <w:t xml:space="preserve"> </w:t>
      </w:r>
    </w:p>
    <w:p w:rsidR="00CF46B4" w:rsidRDefault="00CF46B4" w:rsidP="00CF46B4">
      <w:pPr>
        <w:spacing w:after="0" w:line="240" w:lineRule="auto"/>
        <w:jc w:val="both"/>
        <w:rPr>
          <w:b/>
          <w:i/>
          <w:szCs w:val="24"/>
        </w:rPr>
      </w:pPr>
    </w:p>
    <w:p w:rsidR="00CF46B4" w:rsidRPr="00A4639C" w:rsidRDefault="008C084B" w:rsidP="00CF46B4">
      <w:pPr>
        <w:spacing w:after="0" w:line="240" w:lineRule="auto"/>
        <w:jc w:val="both"/>
        <w:rPr>
          <w:b/>
          <w:i/>
          <w:szCs w:val="24"/>
        </w:rPr>
      </w:pPr>
      <w:r>
        <w:rPr>
          <w:b/>
          <w:i/>
          <w:szCs w:val="24"/>
        </w:rPr>
        <w:t>4.9.1</w:t>
      </w:r>
      <w:r>
        <w:rPr>
          <w:b/>
          <w:i/>
          <w:szCs w:val="24"/>
        </w:rPr>
        <w:tab/>
      </w:r>
      <w:r w:rsidR="00CF46B4" w:rsidRPr="00A4639C">
        <w:rPr>
          <w:b/>
          <w:i/>
          <w:szCs w:val="24"/>
        </w:rPr>
        <w:t>Payments under the LAVIMS Project</w:t>
      </w:r>
    </w:p>
    <w:p w:rsidR="00CF46B4" w:rsidRDefault="00CF46B4" w:rsidP="00CF46B4">
      <w:pPr>
        <w:spacing w:after="0" w:line="240" w:lineRule="auto"/>
        <w:jc w:val="both"/>
        <w:rPr>
          <w:szCs w:val="24"/>
        </w:rPr>
      </w:pPr>
    </w:p>
    <w:p w:rsidR="00CF46B4" w:rsidRDefault="00CF46B4" w:rsidP="00CF46B4">
      <w:pPr>
        <w:spacing w:after="0" w:line="240" w:lineRule="auto"/>
        <w:jc w:val="both"/>
        <w:rPr>
          <w:szCs w:val="24"/>
        </w:rPr>
      </w:pPr>
      <w:r>
        <w:rPr>
          <w:szCs w:val="24"/>
        </w:rPr>
        <w:t>T</w:t>
      </w:r>
      <w:r w:rsidRPr="009A5AA4">
        <w:rPr>
          <w:szCs w:val="24"/>
        </w:rPr>
        <w:t xml:space="preserve">otal costs </w:t>
      </w:r>
      <w:r>
        <w:rPr>
          <w:szCs w:val="24"/>
        </w:rPr>
        <w:t xml:space="preserve">incurred as of November 2017 on the LAVIMs project amounted </w:t>
      </w:r>
      <w:r w:rsidRPr="009A5AA4">
        <w:rPr>
          <w:szCs w:val="24"/>
        </w:rPr>
        <w:t xml:space="preserve">to </w:t>
      </w:r>
      <w:r w:rsidR="005C7ABB">
        <w:rPr>
          <w:szCs w:val="24"/>
        </w:rPr>
        <w:br/>
      </w:r>
      <w:r w:rsidRPr="009A5AA4">
        <w:rPr>
          <w:szCs w:val="24"/>
        </w:rPr>
        <w:t>US</w:t>
      </w:r>
      <w:r w:rsidR="005C7ABB">
        <w:rPr>
          <w:szCs w:val="24"/>
        </w:rPr>
        <w:t xml:space="preserve"> $</w:t>
      </w:r>
      <w:r w:rsidR="004E2FBA">
        <w:rPr>
          <w:szCs w:val="24"/>
        </w:rPr>
        <w:t xml:space="preserve"> 25,994,088 that is</w:t>
      </w:r>
      <w:r w:rsidRPr="009A5AA4">
        <w:rPr>
          <w:szCs w:val="24"/>
        </w:rPr>
        <w:t xml:space="preserve"> Rs 808.5 million. </w:t>
      </w:r>
      <w:r>
        <w:rPr>
          <w:szCs w:val="24"/>
        </w:rPr>
        <w:t>This comprised the following:</w:t>
      </w:r>
    </w:p>
    <w:p w:rsidR="00CF46B4" w:rsidRDefault="00CF46B4" w:rsidP="00CF46B4">
      <w:pPr>
        <w:spacing w:after="0" w:line="240" w:lineRule="auto"/>
        <w:jc w:val="both"/>
        <w:rPr>
          <w:szCs w:val="24"/>
        </w:rPr>
      </w:pPr>
    </w:p>
    <w:p w:rsidR="00CF46B4" w:rsidRDefault="00CF46B4" w:rsidP="00CF46B4">
      <w:pPr>
        <w:pStyle w:val="ListParagraph"/>
        <w:numPr>
          <w:ilvl w:val="0"/>
          <w:numId w:val="26"/>
        </w:numPr>
        <w:spacing w:after="0" w:line="240" w:lineRule="auto"/>
        <w:contextualSpacing w:val="0"/>
        <w:jc w:val="both"/>
        <w:rPr>
          <w:szCs w:val="24"/>
        </w:rPr>
      </w:pPr>
      <w:r w:rsidRPr="00C67C6F">
        <w:rPr>
          <w:szCs w:val="24"/>
        </w:rPr>
        <w:t xml:space="preserve">The contract for LAVIMS was awarded to </w:t>
      </w:r>
      <w:r>
        <w:rPr>
          <w:szCs w:val="24"/>
        </w:rPr>
        <w:t>a foreign F</w:t>
      </w:r>
      <w:r w:rsidR="004E2FBA">
        <w:rPr>
          <w:szCs w:val="24"/>
        </w:rPr>
        <w:t>irm in December 2008 for a fixed</w:t>
      </w:r>
      <w:r w:rsidRPr="00C67C6F">
        <w:rPr>
          <w:szCs w:val="24"/>
        </w:rPr>
        <w:t xml:space="preserve"> sum not exceeding US $ 18,285,000</w:t>
      </w:r>
      <w:r>
        <w:rPr>
          <w:szCs w:val="24"/>
        </w:rPr>
        <w:t xml:space="preserve"> that was </w:t>
      </w:r>
      <w:r w:rsidRPr="00C67C6F">
        <w:rPr>
          <w:szCs w:val="24"/>
        </w:rPr>
        <w:t xml:space="preserve">revised </w:t>
      </w:r>
      <w:r>
        <w:rPr>
          <w:szCs w:val="24"/>
        </w:rPr>
        <w:t xml:space="preserve">to an </w:t>
      </w:r>
      <w:r w:rsidRPr="00C67C6F">
        <w:rPr>
          <w:szCs w:val="24"/>
        </w:rPr>
        <w:t xml:space="preserve">amount of </w:t>
      </w:r>
      <w:r w:rsidR="002D752D">
        <w:rPr>
          <w:szCs w:val="24"/>
        </w:rPr>
        <w:br/>
      </w:r>
      <w:r w:rsidR="000A26BA">
        <w:rPr>
          <w:szCs w:val="24"/>
        </w:rPr>
        <w:t>US $</w:t>
      </w:r>
      <w:r w:rsidRPr="00C67C6F">
        <w:rPr>
          <w:szCs w:val="24"/>
        </w:rPr>
        <w:t xml:space="preserve"> 20,451,894, </w:t>
      </w:r>
      <w:r>
        <w:rPr>
          <w:szCs w:val="24"/>
        </w:rPr>
        <w:t>following variations. T</w:t>
      </w:r>
      <w:r w:rsidRPr="00C67C6F">
        <w:rPr>
          <w:szCs w:val="24"/>
        </w:rPr>
        <w:t>he contractor</w:t>
      </w:r>
      <w:r>
        <w:rPr>
          <w:szCs w:val="24"/>
        </w:rPr>
        <w:t xml:space="preserve"> had been paid</w:t>
      </w:r>
      <w:r w:rsidRPr="00C67C6F">
        <w:rPr>
          <w:szCs w:val="24"/>
        </w:rPr>
        <w:t xml:space="preserve"> </w:t>
      </w:r>
      <w:r w:rsidR="000A26BA">
        <w:rPr>
          <w:szCs w:val="24"/>
        </w:rPr>
        <w:t>US $</w:t>
      </w:r>
      <w:r w:rsidRPr="00C67C6F">
        <w:rPr>
          <w:szCs w:val="24"/>
        </w:rPr>
        <w:t xml:space="preserve"> 20,111,637 between 2</w:t>
      </w:r>
      <w:r w:rsidR="00372A02">
        <w:rPr>
          <w:szCs w:val="24"/>
        </w:rPr>
        <w:t>009 and 2016</w:t>
      </w:r>
      <w:r w:rsidR="00E7633C">
        <w:rPr>
          <w:szCs w:val="24"/>
        </w:rPr>
        <w:t>;</w:t>
      </w:r>
    </w:p>
    <w:p w:rsidR="00CF46B4" w:rsidRPr="00C67C6F" w:rsidRDefault="00CF46B4" w:rsidP="00CF46B4">
      <w:pPr>
        <w:pStyle w:val="ListParagraph"/>
        <w:spacing w:after="0" w:line="240" w:lineRule="auto"/>
        <w:ind w:left="360"/>
        <w:contextualSpacing w:val="0"/>
        <w:jc w:val="both"/>
        <w:rPr>
          <w:szCs w:val="24"/>
        </w:rPr>
      </w:pPr>
    </w:p>
    <w:p w:rsidR="00CF46B4" w:rsidRDefault="00CF46B4" w:rsidP="00CF46B4">
      <w:pPr>
        <w:pStyle w:val="ListParagraph"/>
        <w:numPr>
          <w:ilvl w:val="0"/>
          <w:numId w:val="26"/>
        </w:numPr>
        <w:spacing w:after="0" w:line="240" w:lineRule="auto"/>
        <w:contextualSpacing w:val="0"/>
        <w:jc w:val="both"/>
        <w:rPr>
          <w:szCs w:val="24"/>
        </w:rPr>
      </w:pPr>
      <w:r>
        <w:rPr>
          <w:szCs w:val="24"/>
        </w:rPr>
        <w:t>The foreign F</w:t>
      </w:r>
      <w:r w:rsidRPr="00C67C6F">
        <w:rPr>
          <w:szCs w:val="24"/>
        </w:rPr>
        <w:t xml:space="preserve">irm </w:t>
      </w:r>
      <w:r>
        <w:rPr>
          <w:szCs w:val="24"/>
        </w:rPr>
        <w:t xml:space="preserve">has also been paid </w:t>
      </w:r>
      <w:r w:rsidR="000A26BA">
        <w:rPr>
          <w:szCs w:val="24"/>
        </w:rPr>
        <w:t>US $</w:t>
      </w:r>
      <w:r w:rsidRPr="00C67C6F">
        <w:rPr>
          <w:szCs w:val="24"/>
        </w:rPr>
        <w:t xml:space="preserve"> 5,165,919 for </w:t>
      </w:r>
      <w:r w:rsidR="004E2FBA">
        <w:rPr>
          <w:szCs w:val="24"/>
        </w:rPr>
        <w:t xml:space="preserve">maintenance of the system from </w:t>
      </w:r>
      <w:r w:rsidRPr="00C67C6F">
        <w:rPr>
          <w:szCs w:val="24"/>
        </w:rPr>
        <w:t>2012 to 2017</w:t>
      </w:r>
      <w:r>
        <w:rPr>
          <w:szCs w:val="24"/>
        </w:rPr>
        <w:t xml:space="preserve"> </w:t>
      </w:r>
      <w:r w:rsidR="004E2FBA">
        <w:rPr>
          <w:szCs w:val="24"/>
        </w:rPr>
        <w:t xml:space="preserve">that is Rs 167 </w:t>
      </w:r>
      <w:proofErr w:type="spellStart"/>
      <w:r w:rsidR="004E2FBA">
        <w:rPr>
          <w:szCs w:val="24"/>
        </w:rPr>
        <w:t>millions</w:t>
      </w:r>
      <w:proofErr w:type="spellEnd"/>
      <w:r w:rsidR="004E2FBA">
        <w:rPr>
          <w:szCs w:val="24"/>
        </w:rPr>
        <w:t>;</w:t>
      </w:r>
      <w:r w:rsidRPr="00C67C6F">
        <w:rPr>
          <w:szCs w:val="24"/>
        </w:rPr>
        <w:t xml:space="preserve"> </w:t>
      </w:r>
    </w:p>
    <w:p w:rsidR="00CF46B4" w:rsidRPr="005033A8" w:rsidRDefault="00CF46B4" w:rsidP="00CF46B4">
      <w:pPr>
        <w:spacing w:after="0" w:line="240" w:lineRule="auto"/>
        <w:jc w:val="both"/>
        <w:rPr>
          <w:szCs w:val="24"/>
        </w:rPr>
      </w:pPr>
    </w:p>
    <w:p w:rsidR="00CF46B4" w:rsidRDefault="00CF46B4" w:rsidP="00CF46B4">
      <w:pPr>
        <w:pStyle w:val="ListParagraph"/>
        <w:numPr>
          <w:ilvl w:val="0"/>
          <w:numId w:val="26"/>
        </w:numPr>
        <w:spacing w:after="0" w:line="240" w:lineRule="auto"/>
        <w:contextualSpacing w:val="0"/>
        <w:jc w:val="both"/>
        <w:rPr>
          <w:szCs w:val="24"/>
        </w:rPr>
      </w:pPr>
      <w:r>
        <w:rPr>
          <w:szCs w:val="24"/>
        </w:rPr>
        <w:t>A local Consultancy F</w:t>
      </w:r>
      <w:r w:rsidRPr="00C67C6F">
        <w:rPr>
          <w:szCs w:val="24"/>
        </w:rPr>
        <w:t xml:space="preserve">irm </w:t>
      </w:r>
      <w:r>
        <w:rPr>
          <w:szCs w:val="24"/>
        </w:rPr>
        <w:t xml:space="preserve">was </w:t>
      </w:r>
      <w:r w:rsidRPr="00C67C6F">
        <w:rPr>
          <w:szCs w:val="24"/>
        </w:rPr>
        <w:t xml:space="preserve">paid </w:t>
      </w:r>
      <w:r>
        <w:rPr>
          <w:szCs w:val="24"/>
        </w:rPr>
        <w:t xml:space="preserve">fees of </w:t>
      </w:r>
      <w:r w:rsidR="000A26BA">
        <w:rPr>
          <w:szCs w:val="24"/>
        </w:rPr>
        <w:t>US $</w:t>
      </w:r>
      <w:r w:rsidRPr="00C67C6F">
        <w:rPr>
          <w:szCs w:val="24"/>
        </w:rPr>
        <w:t xml:space="preserve"> 716,532 (or Rs 23.2 million) for the period September 2009 and March 2012. </w:t>
      </w:r>
    </w:p>
    <w:p w:rsidR="00CF46B4" w:rsidRPr="005033A8" w:rsidRDefault="00CF46B4" w:rsidP="00CF46B4">
      <w:pPr>
        <w:spacing w:after="0" w:line="240" w:lineRule="auto"/>
        <w:jc w:val="both"/>
        <w:rPr>
          <w:szCs w:val="24"/>
        </w:rPr>
      </w:pPr>
    </w:p>
    <w:p w:rsidR="00CF46B4" w:rsidRDefault="00CF46B4" w:rsidP="00CF46B4">
      <w:pPr>
        <w:spacing w:after="0" w:line="240" w:lineRule="auto"/>
        <w:jc w:val="both"/>
        <w:rPr>
          <w:b/>
          <w:i/>
          <w:szCs w:val="24"/>
        </w:rPr>
      </w:pPr>
      <w:r w:rsidRPr="00A4639C">
        <w:rPr>
          <w:b/>
          <w:i/>
          <w:szCs w:val="24"/>
        </w:rPr>
        <w:t>Observations</w:t>
      </w:r>
    </w:p>
    <w:p w:rsidR="00CF46B4" w:rsidRPr="00A4639C" w:rsidRDefault="00CF46B4" w:rsidP="00CF46B4">
      <w:pPr>
        <w:spacing w:after="0" w:line="240" w:lineRule="auto"/>
        <w:jc w:val="both"/>
        <w:rPr>
          <w:b/>
          <w:i/>
          <w:szCs w:val="24"/>
        </w:rPr>
      </w:pPr>
    </w:p>
    <w:p w:rsidR="004E2FBA" w:rsidRDefault="004E2FBA" w:rsidP="004E2FBA">
      <w:pPr>
        <w:pStyle w:val="ListParagraph"/>
        <w:numPr>
          <w:ilvl w:val="0"/>
          <w:numId w:val="20"/>
        </w:numPr>
        <w:spacing w:after="0" w:line="240" w:lineRule="auto"/>
        <w:ind w:left="360"/>
        <w:contextualSpacing w:val="0"/>
        <w:jc w:val="both"/>
        <w:rPr>
          <w:szCs w:val="24"/>
        </w:rPr>
      </w:pPr>
      <w:r w:rsidRPr="004707E5">
        <w:rPr>
          <w:szCs w:val="24"/>
        </w:rPr>
        <w:t xml:space="preserve">The technical and financial proposals submitted by the </w:t>
      </w:r>
      <w:r>
        <w:rPr>
          <w:szCs w:val="24"/>
        </w:rPr>
        <w:t>Private Firm (C</w:t>
      </w:r>
      <w:r w:rsidRPr="004707E5">
        <w:rPr>
          <w:szCs w:val="24"/>
        </w:rPr>
        <w:t>ontractor</w:t>
      </w:r>
      <w:r>
        <w:rPr>
          <w:szCs w:val="24"/>
        </w:rPr>
        <w:t>),</w:t>
      </w:r>
      <w:r w:rsidRPr="004707E5">
        <w:rPr>
          <w:szCs w:val="24"/>
        </w:rPr>
        <w:t xml:space="preserve"> as well as the feasibility study and the business case of the project were not</w:t>
      </w:r>
      <w:r>
        <w:rPr>
          <w:szCs w:val="24"/>
        </w:rPr>
        <w:t xml:space="preserve"> available;</w:t>
      </w:r>
      <w:r w:rsidRPr="004707E5">
        <w:rPr>
          <w:szCs w:val="24"/>
        </w:rPr>
        <w:t xml:space="preserve"> </w:t>
      </w:r>
    </w:p>
    <w:p w:rsidR="00CF46B4" w:rsidRPr="005033A8" w:rsidRDefault="00CF46B4" w:rsidP="00CF46B4">
      <w:pPr>
        <w:spacing w:after="0" w:line="240" w:lineRule="auto"/>
        <w:jc w:val="both"/>
        <w:rPr>
          <w:szCs w:val="24"/>
        </w:rPr>
      </w:pPr>
    </w:p>
    <w:p w:rsidR="00CF46B4" w:rsidRPr="002A4369" w:rsidRDefault="00CF46B4" w:rsidP="002A4369">
      <w:pPr>
        <w:pStyle w:val="ListParagraph"/>
        <w:numPr>
          <w:ilvl w:val="0"/>
          <w:numId w:val="19"/>
        </w:numPr>
        <w:spacing w:after="0" w:line="240" w:lineRule="auto"/>
        <w:ind w:left="360"/>
        <w:contextualSpacing w:val="0"/>
        <w:jc w:val="both"/>
        <w:rPr>
          <w:b/>
          <w:szCs w:val="24"/>
        </w:rPr>
      </w:pPr>
      <w:r w:rsidRPr="00AB79B1">
        <w:rPr>
          <w:szCs w:val="24"/>
        </w:rPr>
        <w:lastRenderedPageBreak/>
        <w:t xml:space="preserve">The </w:t>
      </w:r>
      <w:r w:rsidR="002A4369">
        <w:rPr>
          <w:szCs w:val="24"/>
        </w:rPr>
        <w:t>Ministry awarded a contract for</w:t>
      </w:r>
      <w:r w:rsidRPr="00AB79B1">
        <w:rPr>
          <w:szCs w:val="24"/>
        </w:rPr>
        <w:t xml:space="preserve"> the Project Coordinati</w:t>
      </w:r>
      <w:r w:rsidR="002A4369">
        <w:rPr>
          <w:szCs w:val="24"/>
        </w:rPr>
        <w:t xml:space="preserve">on and Quality Assurance </w:t>
      </w:r>
      <w:r w:rsidRPr="00AB79B1">
        <w:rPr>
          <w:szCs w:val="24"/>
        </w:rPr>
        <w:t xml:space="preserve">for the LAVIMS Project </w:t>
      </w:r>
      <w:r w:rsidR="002A4369">
        <w:rPr>
          <w:szCs w:val="24"/>
        </w:rPr>
        <w:t xml:space="preserve">to a private firm. </w:t>
      </w:r>
      <w:r w:rsidR="002A4369" w:rsidRPr="002A4369">
        <w:rPr>
          <w:szCs w:val="24"/>
        </w:rPr>
        <w:t xml:space="preserve">The initial contract period </w:t>
      </w:r>
      <w:r w:rsidRPr="002A4369">
        <w:rPr>
          <w:szCs w:val="24"/>
        </w:rPr>
        <w:t>of 14 months, was</w:t>
      </w:r>
      <w:r w:rsidR="002A4369" w:rsidRPr="002A4369">
        <w:rPr>
          <w:szCs w:val="24"/>
        </w:rPr>
        <w:t xml:space="preserve"> extended by 16 months to</w:t>
      </w:r>
      <w:r w:rsidRPr="002A4369">
        <w:rPr>
          <w:szCs w:val="24"/>
        </w:rPr>
        <w:t xml:space="preserve"> March 2012 due to delays in the LAVIMS project.</w:t>
      </w:r>
      <w:r w:rsidR="00E43BEE" w:rsidRPr="002A4369">
        <w:rPr>
          <w:szCs w:val="24"/>
        </w:rPr>
        <w:t xml:space="preserve"> </w:t>
      </w:r>
      <w:r w:rsidRPr="002A4369">
        <w:rPr>
          <w:szCs w:val="24"/>
        </w:rPr>
        <w:t xml:space="preserve">Cumulative payments up to 2012 </w:t>
      </w:r>
      <w:proofErr w:type="spellStart"/>
      <w:r w:rsidRPr="002A4369">
        <w:rPr>
          <w:szCs w:val="24"/>
        </w:rPr>
        <w:t>totalled</w:t>
      </w:r>
      <w:proofErr w:type="spellEnd"/>
      <w:r w:rsidRPr="002A4369">
        <w:rPr>
          <w:szCs w:val="24"/>
        </w:rPr>
        <w:t xml:space="preserve"> </w:t>
      </w:r>
      <w:r w:rsidR="000A26BA" w:rsidRPr="002A4369">
        <w:rPr>
          <w:szCs w:val="24"/>
        </w:rPr>
        <w:t>US $</w:t>
      </w:r>
      <w:r w:rsidRPr="002A4369">
        <w:rPr>
          <w:szCs w:val="24"/>
        </w:rPr>
        <w:t xml:space="preserve"> 716,532, including incremental cost of US $ 338,072. </w:t>
      </w:r>
    </w:p>
    <w:p w:rsidR="00CF46B4" w:rsidRPr="00AB79B1" w:rsidRDefault="00CF46B4" w:rsidP="00CF46B4">
      <w:pPr>
        <w:pStyle w:val="ListParagraph"/>
        <w:spacing w:after="0" w:line="240" w:lineRule="auto"/>
        <w:ind w:left="360"/>
        <w:contextualSpacing w:val="0"/>
        <w:jc w:val="both"/>
        <w:rPr>
          <w:b/>
          <w:szCs w:val="24"/>
        </w:rPr>
      </w:pPr>
    </w:p>
    <w:p w:rsidR="00CF46B4" w:rsidRPr="004F2B37" w:rsidRDefault="008C084B" w:rsidP="00CF46B4">
      <w:pPr>
        <w:spacing w:after="0" w:line="240" w:lineRule="auto"/>
        <w:jc w:val="both"/>
        <w:rPr>
          <w:b/>
          <w:i/>
          <w:szCs w:val="24"/>
        </w:rPr>
      </w:pPr>
      <w:r>
        <w:rPr>
          <w:b/>
          <w:i/>
          <w:szCs w:val="24"/>
        </w:rPr>
        <w:t>4.9.2</w:t>
      </w:r>
      <w:r>
        <w:rPr>
          <w:b/>
          <w:i/>
          <w:szCs w:val="24"/>
        </w:rPr>
        <w:tab/>
      </w:r>
      <w:r w:rsidR="00CF46B4" w:rsidRPr="004F2B37">
        <w:rPr>
          <w:b/>
          <w:i/>
          <w:szCs w:val="24"/>
        </w:rPr>
        <w:t>Valuation Component – US</w:t>
      </w:r>
      <w:r w:rsidR="000A26BA">
        <w:rPr>
          <w:b/>
          <w:i/>
          <w:szCs w:val="24"/>
        </w:rPr>
        <w:t xml:space="preserve"> </w:t>
      </w:r>
      <w:r w:rsidR="00CF46B4" w:rsidRPr="004F2B37">
        <w:rPr>
          <w:b/>
          <w:i/>
          <w:szCs w:val="24"/>
        </w:rPr>
        <w:t>$ 2,966,418</w:t>
      </w:r>
    </w:p>
    <w:p w:rsidR="00CF46B4" w:rsidRDefault="00CF46B4" w:rsidP="00CF46B4">
      <w:pPr>
        <w:spacing w:after="0" w:line="240" w:lineRule="auto"/>
        <w:jc w:val="both"/>
        <w:rPr>
          <w:szCs w:val="24"/>
        </w:rPr>
      </w:pPr>
    </w:p>
    <w:p w:rsidR="00CF46B4" w:rsidRPr="0022725D" w:rsidRDefault="00CF46B4" w:rsidP="00CF46B4">
      <w:pPr>
        <w:spacing w:after="0" w:line="240" w:lineRule="auto"/>
        <w:jc w:val="both"/>
        <w:rPr>
          <w:szCs w:val="24"/>
        </w:rPr>
      </w:pPr>
      <w:r w:rsidRPr="0022725D">
        <w:rPr>
          <w:szCs w:val="24"/>
        </w:rPr>
        <w:t>Government required a valuation survey and a valuation of properties within the boundaries of the Island of Mauritius</w:t>
      </w:r>
      <w:r>
        <w:rPr>
          <w:szCs w:val="24"/>
        </w:rPr>
        <w:t>,</w:t>
      </w:r>
      <w:r w:rsidRPr="0022725D">
        <w:rPr>
          <w:szCs w:val="24"/>
        </w:rPr>
        <w:t xml:space="preserve"> based on market value</w:t>
      </w:r>
      <w:r>
        <w:rPr>
          <w:szCs w:val="24"/>
        </w:rPr>
        <w:t>,</w:t>
      </w:r>
      <w:r w:rsidRPr="0022725D">
        <w:rPr>
          <w:szCs w:val="24"/>
        </w:rPr>
        <w:t xml:space="preserve"> as defined by the International Valuation Standards Committee and the compilation of the valuation list</w:t>
      </w:r>
      <w:r>
        <w:rPr>
          <w:szCs w:val="24"/>
        </w:rPr>
        <w:t>,</w:t>
      </w:r>
      <w:r w:rsidRPr="0022725D">
        <w:rPr>
          <w:szCs w:val="24"/>
        </w:rPr>
        <w:t xml:space="preserve"> in accordance with the Local Government Act.</w:t>
      </w:r>
      <w:r>
        <w:rPr>
          <w:szCs w:val="24"/>
        </w:rPr>
        <w:t xml:space="preserve"> T</w:t>
      </w:r>
      <w:r w:rsidRPr="0022725D">
        <w:rPr>
          <w:szCs w:val="24"/>
        </w:rPr>
        <w:t>he valuation roll is instrumental for the proper revenue management</w:t>
      </w:r>
      <w:r>
        <w:rPr>
          <w:szCs w:val="24"/>
        </w:rPr>
        <w:t>,</w:t>
      </w:r>
      <w:r w:rsidRPr="0022725D">
        <w:rPr>
          <w:szCs w:val="24"/>
        </w:rPr>
        <w:t xml:space="preserve"> for the Local authorities</w:t>
      </w:r>
      <w:r>
        <w:rPr>
          <w:szCs w:val="24"/>
        </w:rPr>
        <w:t xml:space="preserve">, the </w:t>
      </w:r>
      <w:r w:rsidRPr="0022725D">
        <w:rPr>
          <w:szCs w:val="24"/>
        </w:rPr>
        <w:t xml:space="preserve">Registrar General </w:t>
      </w:r>
      <w:r>
        <w:rPr>
          <w:szCs w:val="24"/>
        </w:rPr>
        <w:t>Department (RGD) and the</w:t>
      </w:r>
      <w:r w:rsidRPr="0022725D">
        <w:rPr>
          <w:szCs w:val="24"/>
        </w:rPr>
        <w:t xml:space="preserve"> Ministry of Housing and Land.</w:t>
      </w:r>
    </w:p>
    <w:p w:rsidR="00CF46B4" w:rsidRDefault="00CF46B4" w:rsidP="00CF46B4">
      <w:pPr>
        <w:spacing w:after="0" w:line="240" w:lineRule="auto"/>
        <w:jc w:val="both"/>
        <w:rPr>
          <w:b/>
          <w:i/>
          <w:szCs w:val="24"/>
        </w:rPr>
      </w:pPr>
    </w:p>
    <w:p w:rsidR="00CF46B4" w:rsidRPr="004F2B37" w:rsidRDefault="00CF46B4" w:rsidP="00CF46B4">
      <w:pPr>
        <w:spacing w:after="0" w:line="240" w:lineRule="auto"/>
        <w:jc w:val="both"/>
        <w:rPr>
          <w:b/>
          <w:i/>
          <w:szCs w:val="24"/>
        </w:rPr>
      </w:pPr>
      <w:r>
        <w:rPr>
          <w:b/>
          <w:i/>
          <w:szCs w:val="24"/>
        </w:rPr>
        <w:t>Observation</w:t>
      </w:r>
    </w:p>
    <w:p w:rsidR="00CF46B4" w:rsidRDefault="00CF46B4" w:rsidP="00CF46B4">
      <w:pPr>
        <w:spacing w:after="0" w:line="240" w:lineRule="auto"/>
        <w:jc w:val="both"/>
        <w:rPr>
          <w:szCs w:val="24"/>
        </w:rPr>
      </w:pPr>
    </w:p>
    <w:p w:rsidR="00CF46B4" w:rsidRPr="004F2B37" w:rsidRDefault="002A4369" w:rsidP="00CF46B4">
      <w:pPr>
        <w:spacing w:after="0" w:line="240" w:lineRule="auto"/>
        <w:jc w:val="both"/>
        <w:rPr>
          <w:szCs w:val="24"/>
        </w:rPr>
      </w:pPr>
      <w:r>
        <w:rPr>
          <w:szCs w:val="24"/>
        </w:rPr>
        <w:t>As at time</w:t>
      </w:r>
      <w:r w:rsidR="00CF46B4" w:rsidRPr="004F2B37">
        <w:rPr>
          <w:szCs w:val="24"/>
        </w:rPr>
        <w:t xml:space="preserve"> of audit in November 2017, the valuation roll was not operational. The valuation component had not yet been signed off</w:t>
      </w:r>
      <w:r w:rsidR="00CF46B4">
        <w:rPr>
          <w:szCs w:val="24"/>
        </w:rPr>
        <w:t>,</w:t>
      </w:r>
      <w:r w:rsidR="00CF46B4" w:rsidRPr="004F2B37">
        <w:rPr>
          <w:szCs w:val="24"/>
        </w:rPr>
        <w:t xml:space="preserve"> though the contract amount of</w:t>
      </w:r>
      <w:r w:rsidR="00CF46B4" w:rsidRPr="004F2B37">
        <w:rPr>
          <w:b/>
          <w:szCs w:val="24"/>
        </w:rPr>
        <w:t xml:space="preserve"> </w:t>
      </w:r>
      <w:r w:rsidR="002F1AAF">
        <w:rPr>
          <w:b/>
          <w:szCs w:val="24"/>
        </w:rPr>
        <w:br/>
      </w:r>
      <w:r w:rsidR="000A26BA">
        <w:rPr>
          <w:szCs w:val="24"/>
        </w:rPr>
        <w:t>US $</w:t>
      </w:r>
      <w:r w:rsidR="00CF46B4" w:rsidRPr="004F2B37">
        <w:rPr>
          <w:szCs w:val="24"/>
        </w:rPr>
        <w:t xml:space="preserve"> 2,9</w:t>
      </w:r>
      <w:r>
        <w:rPr>
          <w:szCs w:val="24"/>
        </w:rPr>
        <w:t xml:space="preserve">66,418 had already been paid </w:t>
      </w:r>
      <w:proofErr w:type="spellStart"/>
      <w:r>
        <w:rPr>
          <w:szCs w:val="24"/>
        </w:rPr>
        <w:t>todate</w:t>
      </w:r>
      <w:proofErr w:type="spellEnd"/>
      <w:r w:rsidR="00CF46B4" w:rsidRPr="004F2B37">
        <w:rPr>
          <w:szCs w:val="24"/>
        </w:rPr>
        <w:t xml:space="preserve">, </w:t>
      </w:r>
      <w:r>
        <w:rPr>
          <w:szCs w:val="24"/>
        </w:rPr>
        <w:t xml:space="preserve">that is, </w:t>
      </w:r>
      <w:r w:rsidR="00CF46B4" w:rsidRPr="004F2B37">
        <w:rPr>
          <w:szCs w:val="24"/>
        </w:rPr>
        <w:t>six years later.</w:t>
      </w:r>
    </w:p>
    <w:p w:rsidR="00CF46B4" w:rsidRPr="00146128" w:rsidRDefault="00CF46B4" w:rsidP="00CF46B4">
      <w:pPr>
        <w:pStyle w:val="NoSpacing"/>
        <w:ind w:left="360"/>
        <w:jc w:val="both"/>
        <w:rPr>
          <w:rFonts w:ascii="Times New Roman" w:hAnsi="Times New Roman"/>
          <w:sz w:val="24"/>
          <w:szCs w:val="24"/>
        </w:rPr>
      </w:pPr>
    </w:p>
    <w:p w:rsidR="00CF46B4" w:rsidRPr="004F2B37" w:rsidRDefault="008C084B" w:rsidP="00CF46B4">
      <w:pPr>
        <w:pStyle w:val="ListParagraph"/>
        <w:spacing w:after="0" w:line="240" w:lineRule="auto"/>
        <w:ind w:left="0"/>
        <w:jc w:val="both"/>
        <w:rPr>
          <w:b/>
          <w:i/>
          <w:szCs w:val="24"/>
        </w:rPr>
      </w:pPr>
      <w:r>
        <w:rPr>
          <w:b/>
          <w:i/>
          <w:szCs w:val="24"/>
        </w:rPr>
        <w:t>4.9.3</w:t>
      </w:r>
      <w:r>
        <w:rPr>
          <w:b/>
          <w:i/>
          <w:szCs w:val="24"/>
        </w:rPr>
        <w:tab/>
      </w:r>
      <w:proofErr w:type="spellStart"/>
      <w:r w:rsidR="00CF46B4">
        <w:rPr>
          <w:b/>
          <w:i/>
          <w:szCs w:val="24"/>
        </w:rPr>
        <w:t>Cadastre</w:t>
      </w:r>
      <w:proofErr w:type="spellEnd"/>
      <w:r w:rsidR="00CF46B4">
        <w:rPr>
          <w:b/>
          <w:i/>
          <w:szCs w:val="24"/>
        </w:rPr>
        <w:t xml:space="preserve"> C</w:t>
      </w:r>
      <w:r w:rsidR="00CF46B4" w:rsidRPr="004F2B37">
        <w:rPr>
          <w:b/>
          <w:i/>
          <w:szCs w:val="24"/>
        </w:rPr>
        <w:t>omponent – US</w:t>
      </w:r>
      <w:r w:rsidR="000A26BA">
        <w:rPr>
          <w:b/>
          <w:i/>
          <w:szCs w:val="24"/>
        </w:rPr>
        <w:t xml:space="preserve"> </w:t>
      </w:r>
      <w:r w:rsidR="00CF46B4" w:rsidRPr="004F2B37">
        <w:rPr>
          <w:b/>
          <w:i/>
          <w:szCs w:val="24"/>
        </w:rPr>
        <w:t>$ 889,925</w:t>
      </w:r>
    </w:p>
    <w:p w:rsidR="00CF46B4" w:rsidRPr="0022725D" w:rsidRDefault="00CF46B4" w:rsidP="00CF46B4">
      <w:pPr>
        <w:pStyle w:val="ListParagraph"/>
        <w:spacing w:after="0" w:line="240" w:lineRule="auto"/>
        <w:ind w:left="0"/>
        <w:jc w:val="both"/>
        <w:rPr>
          <w:szCs w:val="24"/>
        </w:rPr>
      </w:pPr>
    </w:p>
    <w:p w:rsidR="00CF46B4" w:rsidRDefault="00CF46B4" w:rsidP="00CF46B4">
      <w:pPr>
        <w:pStyle w:val="ListParagraph"/>
        <w:spacing w:after="0" w:line="240" w:lineRule="auto"/>
        <w:ind w:left="0"/>
        <w:jc w:val="both"/>
        <w:rPr>
          <w:szCs w:val="24"/>
        </w:rPr>
      </w:pPr>
      <w:r>
        <w:rPr>
          <w:szCs w:val="24"/>
        </w:rPr>
        <w:t>The key aims of the Cadastral C</w:t>
      </w:r>
      <w:r w:rsidRPr="0022725D">
        <w:rPr>
          <w:szCs w:val="24"/>
        </w:rPr>
        <w:t>omponent of the LAVIMS project were:</w:t>
      </w:r>
    </w:p>
    <w:p w:rsidR="00CF46B4" w:rsidRPr="0022725D" w:rsidRDefault="00CF46B4" w:rsidP="00CF46B4">
      <w:pPr>
        <w:pStyle w:val="ListParagraph"/>
        <w:spacing w:after="0" w:line="240" w:lineRule="auto"/>
        <w:ind w:left="0"/>
        <w:jc w:val="both"/>
        <w:rPr>
          <w:szCs w:val="24"/>
        </w:rPr>
      </w:pPr>
    </w:p>
    <w:p w:rsidR="00CF46B4" w:rsidRDefault="00CF46B4" w:rsidP="00CF46B4">
      <w:pPr>
        <w:pStyle w:val="ListParagraph"/>
        <w:numPr>
          <w:ilvl w:val="0"/>
          <w:numId w:val="21"/>
        </w:numPr>
        <w:spacing w:after="0" w:line="240" w:lineRule="auto"/>
        <w:ind w:left="360"/>
        <w:jc w:val="both"/>
        <w:rPr>
          <w:szCs w:val="24"/>
        </w:rPr>
      </w:pPr>
      <w:r w:rsidRPr="0022725D">
        <w:rPr>
          <w:szCs w:val="24"/>
        </w:rPr>
        <w:t xml:space="preserve">To compile a complete </w:t>
      </w:r>
      <w:proofErr w:type="spellStart"/>
      <w:r w:rsidRPr="0022725D">
        <w:rPr>
          <w:szCs w:val="24"/>
        </w:rPr>
        <w:t>Cadastre</w:t>
      </w:r>
      <w:proofErr w:type="spellEnd"/>
      <w:r w:rsidRPr="0022725D">
        <w:rPr>
          <w:szCs w:val="24"/>
        </w:rPr>
        <w:t xml:space="preserve"> of Mauritius</w:t>
      </w:r>
      <w:r>
        <w:rPr>
          <w:szCs w:val="24"/>
        </w:rPr>
        <w:t>,</w:t>
      </w:r>
      <w:r w:rsidRPr="0022725D">
        <w:rPr>
          <w:szCs w:val="24"/>
        </w:rPr>
        <w:t xml:space="preserve"> based on existing survey plans, allowing every land parcel to be linked to a deed through a Digital </w:t>
      </w:r>
      <w:proofErr w:type="spellStart"/>
      <w:r w:rsidRPr="0022725D">
        <w:rPr>
          <w:szCs w:val="24"/>
        </w:rPr>
        <w:t>Cadastre</w:t>
      </w:r>
      <w:proofErr w:type="spellEnd"/>
      <w:r w:rsidRPr="0022725D">
        <w:rPr>
          <w:szCs w:val="24"/>
        </w:rPr>
        <w:t xml:space="preserve"> Database; </w:t>
      </w:r>
    </w:p>
    <w:p w:rsidR="00CF46B4" w:rsidRDefault="00CF46B4" w:rsidP="00CF46B4">
      <w:pPr>
        <w:pStyle w:val="ListParagraph"/>
        <w:spacing w:after="0" w:line="240" w:lineRule="auto"/>
        <w:ind w:left="360"/>
        <w:jc w:val="both"/>
        <w:rPr>
          <w:szCs w:val="24"/>
        </w:rPr>
      </w:pPr>
    </w:p>
    <w:p w:rsidR="00CF46B4" w:rsidRPr="00F8458B" w:rsidRDefault="00CF46B4" w:rsidP="00CF46B4">
      <w:pPr>
        <w:pStyle w:val="ListParagraph"/>
        <w:numPr>
          <w:ilvl w:val="0"/>
          <w:numId w:val="21"/>
        </w:numPr>
        <w:spacing w:after="0" w:line="240" w:lineRule="auto"/>
        <w:ind w:left="360"/>
        <w:jc w:val="both"/>
        <w:rPr>
          <w:b/>
          <w:i/>
          <w:szCs w:val="24"/>
        </w:rPr>
      </w:pPr>
      <w:r w:rsidRPr="00F8458B">
        <w:rPr>
          <w:szCs w:val="24"/>
        </w:rPr>
        <w:t>To build a system that would allow ongoing land transactions to be recorded and mapped, and enable continual accuracy, improvement and updating with real time changes in land ownership.</w:t>
      </w:r>
    </w:p>
    <w:p w:rsidR="00F8458B" w:rsidRPr="00F8458B" w:rsidRDefault="00F8458B" w:rsidP="00F8458B">
      <w:pPr>
        <w:spacing w:after="0" w:line="240" w:lineRule="auto"/>
        <w:jc w:val="both"/>
        <w:rPr>
          <w:b/>
          <w:i/>
          <w:szCs w:val="24"/>
        </w:rPr>
      </w:pPr>
    </w:p>
    <w:p w:rsidR="00CF46B4" w:rsidRPr="004F2B37" w:rsidRDefault="00CF46B4" w:rsidP="00CF46B4">
      <w:pPr>
        <w:spacing w:after="0" w:line="240" w:lineRule="auto"/>
        <w:contextualSpacing/>
        <w:jc w:val="both"/>
        <w:rPr>
          <w:b/>
          <w:i/>
          <w:szCs w:val="24"/>
        </w:rPr>
      </w:pPr>
      <w:r w:rsidRPr="004F2B37">
        <w:rPr>
          <w:b/>
          <w:i/>
          <w:szCs w:val="24"/>
        </w:rPr>
        <w:t>Observations</w:t>
      </w:r>
    </w:p>
    <w:p w:rsidR="00CF46B4" w:rsidRPr="0022725D" w:rsidRDefault="00CF46B4" w:rsidP="00CF46B4">
      <w:pPr>
        <w:pStyle w:val="ListParagraph"/>
        <w:spacing w:after="0" w:line="240" w:lineRule="auto"/>
        <w:ind w:left="0"/>
        <w:jc w:val="both"/>
        <w:rPr>
          <w:szCs w:val="24"/>
        </w:rPr>
      </w:pPr>
    </w:p>
    <w:p w:rsidR="00CF46B4" w:rsidRDefault="00CF46B4" w:rsidP="00CF46B4">
      <w:pPr>
        <w:pStyle w:val="ListParagraph"/>
        <w:numPr>
          <w:ilvl w:val="0"/>
          <w:numId w:val="23"/>
        </w:numPr>
        <w:autoSpaceDE w:val="0"/>
        <w:autoSpaceDN w:val="0"/>
        <w:adjustRightInd w:val="0"/>
        <w:spacing w:after="0" w:line="240" w:lineRule="auto"/>
        <w:jc w:val="both"/>
        <w:rPr>
          <w:szCs w:val="24"/>
        </w:rPr>
      </w:pPr>
      <w:r>
        <w:rPr>
          <w:szCs w:val="24"/>
        </w:rPr>
        <w:t xml:space="preserve">The </w:t>
      </w:r>
      <w:proofErr w:type="spellStart"/>
      <w:r>
        <w:rPr>
          <w:szCs w:val="24"/>
        </w:rPr>
        <w:t>Cadastre</w:t>
      </w:r>
      <w:proofErr w:type="spellEnd"/>
      <w:r>
        <w:rPr>
          <w:szCs w:val="24"/>
        </w:rPr>
        <w:t xml:space="preserve"> did</w:t>
      </w:r>
      <w:r w:rsidRPr="00F23683">
        <w:rPr>
          <w:szCs w:val="24"/>
        </w:rPr>
        <w:t xml:space="preserve"> not include plots of lands owned by the State. This is important in order to have a more efficient and modern State Land Management;</w:t>
      </w:r>
    </w:p>
    <w:p w:rsidR="00CF46B4" w:rsidRDefault="00CF46B4" w:rsidP="00CF46B4">
      <w:pPr>
        <w:pStyle w:val="ListParagraph"/>
        <w:autoSpaceDE w:val="0"/>
        <w:autoSpaceDN w:val="0"/>
        <w:adjustRightInd w:val="0"/>
        <w:spacing w:after="0" w:line="240" w:lineRule="auto"/>
        <w:ind w:left="360"/>
        <w:jc w:val="both"/>
        <w:rPr>
          <w:szCs w:val="24"/>
        </w:rPr>
      </w:pPr>
    </w:p>
    <w:p w:rsidR="00CF46B4" w:rsidRDefault="00CF46B4" w:rsidP="00CF46B4">
      <w:pPr>
        <w:pStyle w:val="ListParagraph"/>
        <w:numPr>
          <w:ilvl w:val="0"/>
          <w:numId w:val="23"/>
        </w:numPr>
        <w:spacing w:after="0" w:line="240" w:lineRule="auto"/>
        <w:contextualSpacing w:val="0"/>
        <w:jc w:val="both"/>
        <w:rPr>
          <w:szCs w:val="24"/>
        </w:rPr>
      </w:pPr>
      <w:r w:rsidRPr="00062142">
        <w:rPr>
          <w:szCs w:val="24"/>
        </w:rPr>
        <w:t xml:space="preserve">Despite being a key component, the requirements for the </w:t>
      </w:r>
      <w:proofErr w:type="spellStart"/>
      <w:r w:rsidRPr="00062142">
        <w:rPr>
          <w:szCs w:val="24"/>
        </w:rPr>
        <w:t>cadastre</w:t>
      </w:r>
      <w:proofErr w:type="spellEnd"/>
      <w:r w:rsidRPr="00062142">
        <w:rPr>
          <w:szCs w:val="24"/>
        </w:rPr>
        <w:t xml:space="preserve"> were not fully met.</w:t>
      </w:r>
      <w:r w:rsidRPr="00A626EC">
        <w:rPr>
          <w:szCs w:val="24"/>
        </w:rPr>
        <w:t xml:space="preserve"> </w:t>
      </w:r>
      <w:r>
        <w:rPr>
          <w:szCs w:val="24"/>
        </w:rPr>
        <w:t>T</w:t>
      </w:r>
      <w:r w:rsidRPr="00A32414">
        <w:rPr>
          <w:szCs w:val="24"/>
        </w:rPr>
        <w:t>he last 30 years of deeds had to be captured and entered into LAVIMS.</w:t>
      </w:r>
    </w:p>
    <w:p w:rsidR="00CF46B4" w:rsidRPr="005033A8" w:rsidRDefault="00CF46B4" w:rsidP="00CF46B4">
      <w:pPr>
        <w:spacing w:after="0" w:line="240" w:lineRule="auto"/>
        <w:jc w:val="both"/>
        <w:rPr>
          <w:szCs w:val="24"/>
        </w:rPr>
      </w:pPr>
    </w:p>
    <w:p w:rsidR="00CF46B4" w:rsidRDefault="00CF46B4" w:rsidP="00F8458B">
      <w:pPr>
        <w:pStyle w:val="ListParagraph"/>
        <w:numPr>
          <w:ilvl w:val="0"/>
          <w:numId w:val="28"/>
        </w:numPr>
        <w:spacing w:after="0" w:line="240" w:lineRule="auto"/>
        <w:jc w:val="both"/>
        <w:rPr>
          <w:szCs w:val="24"/>
        </w:rPr>
      </w:pPr>
      <w:r>
        <w:rPr>
          <w:szCs w:val="24"/>
        </w:rPr>
        <w:t>O</w:t>
      </w:r>
      <w:r w:rsidRPr="00A32414">
        <w:rPr>
          <w:szCs w:val="24"/>
        </w:rPr>
        <w:t xml:space="preserve">ver 50 per cent of the deeds collected had no reference to </w:t>
      </w:r>
      <w:r>
        <w:rPr>
          <w:szCs w:val="24"/>
        </w:rPr>
        <w:t xml:space="preserve">Land Survey Plans and many </w:t>
      </w:r>
      <w:r w:rsidRPr="00A32414">
        <w:rPr>
          <w:szCs w:val="24"/>
        </w:rPr>
        <w:t xml:space="preserve">had no location plans; </w:t>
      </w:r>
    </w:p>
    <w:p w:rsidR="00CF46B4" w:rsidRDefault="00CF46B4" w:rsidP="00CF46B4">
      <w:pPr>
        <w:pStyle w:val="ListParagraph"/>
        <w:spacing w:after="0" w:line="240" w:lineRule="auto"/>
        <w:jc w:val="both"/>
        <w:rPr>
          <w:szCs w:val="24"/>
        </w:rPr>
      </w:pPr>
    </w:p>
    <w:p w:rsidR="00CF46B4" w:rsidRDefault="00CF46B4" w:rsidP="00F8458B">
      <w:pPr>
        <w:pStyle w:val="ListParagraph"/>
        <w:numPr>
          <w:ilvl w:val="0"/>
          <w:numId w:val="28"/>
        </w:numPr>
        <w:spacing w:after="0" w:line="240" w:lineRule="auto"/>
        <w:jc w:val="both"/>
        <w:rPr>
          <w:szCs w:val="24"/>
        </w:rPr>
      </w:pPr>
      <w:r>
        <w:rPr>
          <w:szCs w:val="24"/>
        </w:rPr>
        <w:t>T</w:t>
      </w:r>
      <w:r w:rsidRPr="00A32414">
        <w:rPr>
          <w:szCs w:val="24"/>
        </w:rPr>
        <w:t>he data capture did not conform to standards and specifications of the LAVIMS data</w:t>
      </w:r>
      <w:r>
        <w:rPr>
          <w:szCs w:val="24"/>
        </w:rPr>
        <w:t>,</w:t>
      </w:r>
      <w:r w:rsidRPr="00A32414">
        <w:rPr>
          <w:szCs w:val="24"/>
        </w:rPr>
        <w:t xml:space="preserve"> while th</w:t>
      </w:r>
      <w:r w:rsidR="002A4369">
        <w:rPr>
          <w:szCs w:val="24"/>
        </w:rPr>
        <w:t>ey were input and processed</w:t>
      </w:r>
      <w:r>
        <w:rPr>
          <w:szCs w:val="24"/>
        </w:rPr>
        <w:t xml:space="preserve"> into the system;</w:t>
      </w:r>
    </w:p>
    <w:p w:rsidR="00CF46B4" w:rsidRPr="005033A8" w:rsidRDefault="00CF46B4" w:rsidP="00CF46B4">
      <w:pPr>
        <w:spacing w:after="0" w:line="240" w:lineRule="auto"/>
        <w:jc w:val="both"/>
        <w:rPr>
          <w:szCs w:val="24"/>
        </w:rPr>
      </w:pPr>
    </w:p>
    <w:p w:rsidR="00CF46B4" w:rsidRPr="0022725D" w:rsidRDefault="00CF46B4" w:rsidP="00F8458B">
      <w:pPr>
        <w:numPr>
          <w:ilvl w:val="0"/>
          <w:numId w:val="28"/>
        </w:numPr>
        <w:spacing w:after="0" w:line="240" w:lineRule="auto"/>
        <w:jc w:val="both"/>
        <w:rPr>
          <w:szCs w:val="24"/>
        </w:rPr>
      </w:pPr>
      <w:r w:rsidRPr="0022725D">
        <w:rPr>
          <w:szCs w:val="24"/>
        </w:rPr>
        <w:t xml:space="preserve">Not </w:t>
      </w:r>
      <w:r>
        <w:rPr>
          <w:szCs w:val="24"/>
        </w:rPr>
        <w:t xml:space="preserve">all land parcels mapped in the </w:t>
      </w:r>
      <w:proofErr w:type="spellStart"/>
      <w:r>
        <w:rPr>
          <w:szCs w:val="24"/>
        </w:rPr>
        <w:t>Cadastre</w:t>
      </w:r>
      <w:proofErr w:type="spellEnd"/>
      <w:r>
        <w:rPr>
          <w:szCs w:val="24"/>
        </w:rPr>
        <w:t xml:space="preserve"> were linked to a Plan or D</w:t>
      </w:r>
      <w:r w:rsidRPr="0022725D">
        <w:rPr>
          <w:szCs w:val="24"/>
        </w:rPr>
        <w:t>eed.</w:t>
      </w:r>
    </w:p>
    <w:p w:rsidR="002D752D" w:rsidRDefault="002D752D">
      <w:pPr>
        <w:rPr>
          <w:b/>
          <w:szCs w:val="24"/>
        </w:rPr>
      </w:pPr>
      <w:r>
        <w:rPr>
          <w:b/>
          <w:szCs w:val="24"/>
        </w:rPr>
        <w:br w:type="page"/>
      </w:r>
    </w:p>
    <w:p w:rsidR="00CF46B4" w:rsidRPr="00E7633C" w:rsidRDefault="00E7633C" w:rsidP="00CF46B4">
      <w:pPr>
        <w:spacing w:after="0" w:line="240" w:lineRule="auto"/>
        <w:jc w:val="both"/>
        <w:rPr>
          <w:b/>
          <w:i/>
          <w:szCs w:val="24"/>
        </w:rPr>
      </w:pPr>
      <w:proofErr w:type="gramStart"/>
      <w:r w:rsidRPr="00E7633C">
        <w:rPr>
          <w:b/>
          <w:i/>
          <w:szCs w:val="24"/>
        </w:rPr>
        <w:lastRenderedPageBreak/>
        <w:t>4.9.4</w:t>
      </w:r>
      <w:r w:rsidR="008C084B" w:rsidRPr="00E7633C">
        <w:rPr>
          <w:b/>
          <w:i/>
          <w:szCs w:val="24"/>
        </w:rPr>
        <w:tab/>
      </w:r>
      <w:r w:rsidR="00CF46B4" w:rsidRPr="00E7633C">
        <w:rPr>
          <w:b/>
          <w:i/>
          <w:szCs w:val="24"/>
        </w:rPr>
        <w:t>IT</w:t>
      </w:r>
      <w:proofErr w:type="gramEnd"/>
      <w:r w:rsidR="00CF46B4" w:rsidRPr="00E7633C">
        <w:rPr>
          <w:b/>
          <w:i/>
          <w:szCs w:val="24"/>
        </w:rPr>
        <w:t xml:space="preserve"> Security</w:t>
      </w:r>
    </w:p>
    <w:p w:rsidR="00CF46B4" w:rsidRDefault="00CF46B4" w:rsidP="00CF46B4">
      <w:pPr>
        <w:spacing w:after="0" w:line="240" w:lineRule="auto"/>
        <w:jc w:val="both"/>
        <w:rPr>
          <w:szCs w:val="24"/>
        </w:rPr>
      </w:pPr>
    </w:p>
    <w:p w:rsidR="00CF46B4" w:rsidRPr="004F2B37" w:rsidRDefault="00CF46B4" w:rsidP="00CF46B4">
      <w:pPr>
        <w:spacing w:after="0" w:line="240" w:lineRule="auto"/>
        <w:jc w:val="both"/>
        <w:rPr>
          <w:szCs w:val="24"/>
        </w:rPr>
      </w:pPr>
      <w:r w:rsidRPr="004F2B37">
        <w:rPr>
          <w:szCs w:val="24"/>
        </w:rPr>
        <w:t>Breakdown occurred in the system on</w:t>
      </w:r>
      <w:r>
        <w:rPr>
          <w:szCs w:val="24"/>
        </w:rPr>
        <w:t xml:space="preserve"> three consecutive </w:t>
      </w:r>
      <w:r w:rsidRPr="004F2B37">
        <w:rPr>
          <w:szCs w:val="24"/>
        </w:rPr>
        <w:t>days</w:t>
      </w:r>
      <w:r>
        <w:rPr>
          <w:szCs w:val="24"/>
        </w:rPr>
        <w:t>,</w:t>
      </w:r>
      <w:r w:rsidRPr="004F2B37">
        <w:rPr>
          <w:szCs w:val="24"/>
        </w:rPr>
        <w:t xml:space="preserve"> from 8 to 10 November 2017. The system could not function and this caused disruption in work flows and the Ministry had to resolve its backlog manually. </w:t>
      </w:r>
    </w:p>
    <w:p w:rsidR="00CF46B4" w:rsidRDefault="00CF46B4" w:rsidP="00CF46B4">
      <w:pPr>
        <w:spacing w:after="0" w:line="240" w:lineRule="auto"/>
        <w:jc w:val="both"/>
        <w:rPr>
          <w:szCs w:val="24"/>
        </w:rPr>
      </w:pPr>
    </w:p>
    <w:p w:rsidR="00CF46B4" w:rsidRDefault="00CF46B4" w:rsidP="00CF46B4">
      <w:pPr>
        <w:spacing w:after="0" w:line="240" w:lineRule="auto"/>
        <w:jc w:val="both"/>
        <w:rPr>
          <w:szCs w:val="24"/>
        </w:rPr>
      </w:pPr>
      <w:r>
        <w:rPr>
          <w:szCs w:val="24"/>
        </w:rPr>
        <w:t>The following information were</w:t>
      </w:r>
      <w:r w:rsidR="005C7ABB">
        <w:rPr>
          <w:szCs w:val="24"/>
        </w:rPr>
        <w:t xml:space="preserve"> not provided</w:t>
      </w:r>
      <w:r w:rsidRPr="004F2B37">
        <w:rPr>
          <w:szCs w:val="24"/>
        </w:rPr>
        <w:t>:</w:t>
      </w:r>
    </w:p>
    <w:p w:rsidR="00CF46B4" w:rsidRPr="004F2B37" w:rsidRDefault="00CF46B4" w:rsidP="00CF46B4">
      <w:pPr>
        <w:spacing w:after="0" w:line="240" w:lineRule="auto"/>
        <w:jc w:val="both"/>
        <w:rPr>
          <w:szCs w:val="24"/>
        </w:rPr>
      </w:pPr>
    </w:p>
    <w:p w:rsidR="00CF46B4" w:rsidRDefault="00CF46B4" w:rsidP="002B3859">
      <w:pPr>
        <w:pStyle w:val="ListParagraph"/>
        <w:numPr>
          <w:ilvl w:val="0"/>
          <w:numId w:val="25"/>
        </w:numPr>
        <w:spacing w:after="0" w:line="240" w:lineRule="auto"/>
        <w:ind w:left="540" w:hanging="540"/>
        <w:contextualSpacing w:val="0"/>
        <w:jc w:val="both"/>
        <w:rPr>
          <w:szCs w:val="24"/>
        </w:rPr>
      </w:pPr>
      <w:r w:rsidRPr="00372280">
        <w:rPr>
          <w:szCs w:val="24"/>
        </w:rPr>
        <w:t>IT strategic plan of the Ministry</w:t>
      </w:r>
      <w:r>
        <w:rPr>
          <w:szCs w:val="24"/>
        </w:rPr>
        <w:t>;</w:t>
      </w:r>
    </w:p>
    <w:p w:rsidR="00CF46B4" w:rsidRPr="005C7ABB" w:rsidRDefault="00CF46B4" w:rsidP="002B3859">
      <w:pPr>
        <w:pStyle w:val="ListParagraph"/>
        <w:spacing w:after="0" w:line="240" w:lineRule="auto"/>
        <w:ind w:left="540" w:hanging="540"/>
        <w:contextualSpacing w:val="0"/>
        <w:jc w:val="both"/>
        <w:rPr>
          <w:sz w:val="22"/>
        </w:rPr>
      </w:pPr>
    </w:p>
    <w:p w:rsidR="00CF46B4" w:rsidRDefault="00CF46B4" w:rsidP="002B3859">
      <w:pPr>
        <w:pStyle w:val="ListParagraph"/>
        <w:numPr>
          <w:ilvl w:val="0"/>
          <w:numId w:val="25"/>
        </w:numPr>
        <w:spacing w:after="0" w:line="240" w:lineRule="auto"/>
        <w:ind w:left="540" w:hanging="540"/>
        <w:contextualSpacing w:val="0"/>
        <w:jc w:val="both"/>
        <w:rPr>
          <w:szCs w:val="24"/>
        </w:rPr>
      </w:pPr>
      <w:r w:rsidRPr="00372280">
        <w:rPr>
          <w:szCs w:val="24"/>
        </w:rPr>
        <w:t>Source code of</w:t>
      </w:r>
      <w:r>
        <w:rPr>
          <w:szCs w:val="24"/>
        </w:rPr>
        <w:t xml:space="preserve"> the</w:t>
      </w:r>
      <w:r w:rsidRPr="00372280">
        <w:rPr>
          <w:szCs w:val="24"/>
        </w:rPr>
        <w:t xml:space="preserve"> software</w:t>
      </w:r>
      <w:r>
        <w:rPr>
          <w:szCs w:val="24"/>
        </w:rPr>
        <w:t>;</w:t>
      </w:r>
    </w:p>
    <w:p w:rsidR="00CF46B4" w:rsidRPr="005C7ABB" w:rsidRDefault="00CF46B4" w:rsidP="002B3859">
      <w:pPr>
        <w:spacing w:after="0" w:line="240" w:lineRule="auto"/>
        <w:ind w:left="540" w:hanging="540"/>
        <w:jc w:val="both"/>
        <w:rPr>
          <w:sz w:val="22"/>
        </w:rPr>
      </w:pPr>
    </w:p>
    <w:p w:rsidR="00CF46B4" w:rsidRDefault="00CF46B4" w:rsidP="002B3859">
      <w:pPr>
        <w:pStyle w:val="ListParagraph"/>
        <w:numPr>
          <w:ilvl w:val="0"/>
          <w:numId w:val="25"/>
        </w:numPr>
        <w:spacing w:after="0" w:line="240" w:lineRule="auto"/>
        <w:ind w:left="540" w:hanging="540"/>
        <w:contextualSpacing w:val="0"/>
        <w:jc w:val="both"/>
        <w:rPr>
          <w:szCs w:val="24"/>
        </w:rPr>
      </w:pPr>
      <w:r>
        <w:rPr>
          <w:szCs w:val="24"/>
        </w:rPr>
        <w:t>D</w:t>
      </w:r>
      <w:r w:rsidRPr="009F7FB9">
        <w:rPr>
          <w:szCs w:val="24"/>
        </w:rPr>
        <w:t>ocument</w:t>
      </w:r>
      <w:r>
        <w:rPr>
          <w:szCs w:val="24"/>
        </w:rPr>
        <w:t xml:space="preserve">s relating to </w:t>
      </w:r>
      <w:r w:rsidRPr="009F7FB9">
        <w:rPr>
          <w:szCs w:val="24"/>
        </w:rPr>
        <w:t>overall virtualization management architecture, includi</w:t>
      </w:r>
      <w:r>
        <w:rPr>
          <w:szCs w:val="24"/>
        </w:rPr>
        <w:t>ng the hardware and supporting N</w:t>
      </w:r>
      <w:r w:rsidRPr="009F7FB9">
        <w:rPr>
          <w:szCs w:val="24"/>
        </w:rPr>
        <w:t>etwork Infrastructure</w:t>
      </w:r>
      <w:r w:rsidR="002A4369">
        <w:rPr>
          <w:szCs w:val="24"/>
        </w:rPr>
        <w:t>;</w:t>
      </w:r>
    </w:p>
    <w:p w:rsidR="00CF46B4" w:rsidRPr="005033A8" w:rsidRDefault="00CF46B4" w:rsidP="002B3859">
      <w:pPr>
        <w:spacing w:after="0" w:line="240" w:lineRule="auto"/>
        <w:ind w:left="540" w:hanging="540"/>
        <w:jc w:val="both"/>
        <w:rPr>
          <w:szCs w:val="24"/>
        </w:rPr>
      </w:pPr>
    </w:p>
    <w:p w:rsidR="002A4369" w:rsidRDefault="00CF46B4" w:rsidP="002A4369">
      <w:pPr>
        <w:pStyle w:val="ListParagraph"/>
        <w:numPr>
          <w:ilvl w:val="0"/>
          <w:numId w:val="25"/>
        </w:numPr>
        <w:spacing w:after="0" w:line="240" w:lineRule="auto"/>
        <w:ind w:left="540" w:hanging="540"/>
        <w:contextualSpacing w:val="0"/>
        <w:jc w:val="both"/>
        <w:rPr>
          <w:szCs w:val="24"/>
        </w:rPr>
      </w:pPr>
      <w:r>
        <w:rPr>
          <w:szCs w:val="24"/>
        </w:rPr>
        <w:t>Records of Change M</w:t>
      </w:r>
      <w:r w:rsidRPr="009F7FB9">
        <w:rPr>
          <w:szCs w:val="24"/>
        </w:rPr>
        <w:t>anagement</w:t>
      </w:r>
      <w:r w:rsidR="002A4369">
        <w:rPr>
          <w:szCs w:val="24"/>
        </w:rPr>
        <w:t xml:space="preserve"> and Incidence Management;</w:t>
      </w:r>
    </w:p>
    <w:p w:rsidR="00CF46B4" w:rsidRPr="005033A8" w:rsidRDefault="00CF46B4" w:rsidP="002A4369">
      <w:pPr>
        <w:spacing w:after="0" w:line="240" w:lineRule="auto"/>
        <w:jc w:val="both"/>
        <w:rPr>
          <w:szCs w:val="24"/>
        </w:rPr>
      </w:pPr>
    </w:p>
    <w:p w:rsidR="00CF46B4" w:rsidRDefault="00CF46B4" w:rsidP="002B3859">
      <w:pPr>
        <w:pStyle w:val="ListParagraph"/>
        <w:numPr>
          <w:ilvl w:val="0"/>
          <w:numId w:val="25"/>
        </w:numPr>
        <w:spacing w:after="0" w:line="240" w:lineRule="auto"/>
        <w:ind w:left="540" w:hanging="540"/>
        <w:contextualSpacing w:val="0"/>
        <w:jc w:val="both"/>
        <w:rPr>
          <w:szCs w:val="24"/>
        </w:rPr>
      </w:pPr>
      <w:r w:rsidRPr="009F7FB9">
        <w:rPr>
          <w:szCs w:val="24"/>
        </w:rPr>
        <w:t xml:space="preserve">Post Implementation Review done for the performance management of the LAVIMS </w:t>
      </w:r>
      <w:r>
        <w:rPr>
          <w:szCs w:val="24"/>
        </w:rPr>
        <w:t>system;</w:t>
      </w:r>
    </w:p>
    <w:p w:rsidR="00CF46B4" w:rsidRPr="005033A8" w:rsidRDefault="00CF46B4" w:rsidP="002B3859">
      <w:pPr>
        <w:spacing w:after="0" w:line="240" w:lineRule="auto"/>
        <w:ind w:left="540" w:hanging="540"/>
        <w:jc w:val="both"/>
        <w:rPr>
          <w:szCs w:val="24"/>
        </w:rPr>
      </w:pPr>
    </w:p>
    <w:p w:rsidR="00CF46B4" w:rsidRDefault="00CF46B4" w:rsidP="002B3859">
      <w:pPr>
        <w:pStyle w:val="ListParagraph"/>
        <w:numPr>
          <w:ilvl w:val="0"/>
          <w:numId w:val="25"/>
        </w:numPr>
        <w:spacing w:after="0" w:line="240" w:lineRule="auto"/>
        <w:ind w:left="540" w:hanging="540"/>
        <w:contextualSpacing w:val="0"/>
        <w:jc w:val="both"/>
        <w:rPr>
          <w:szCs w:val="24"/>
        </w:rPr>
      </w:pPr>
      <w:r w:rsidRPr="009F7FB9">
        <w:rPr>
          <w:szCs w:val="24"/>
        </w:rPr>
        <w:t>The procedures for security monitoring by management</w:t>
      </w:r>
      <w:r>
        <w:rPr>
          <w:szCs w:val="24"/>
        </w:rPr>
        <w:t>;</w:t>
      </w:r>
    </w:p>
    <w:p w:rsidR="002A4369" w:rsidRPr="002A4369" w:rsidRDefault="002A4369" w:rsidP="002A4369">
      <w:pPr>
        <w:spacing w:after="0" w:line="240" w:lineRule="auto"/>
        <w:jc w:val="both"/>
        <w:rPr>
          <w:szCs w:val="24"/>
        </w:rPr>
      </w:pPr>
    </w:p>
    <w:p w:rsidR="00CF46B4" w:rsidRPr="002A4369" w:rsidRDefault="00CF46B4" w:rsidP="002A4369">
      <w:pPr>
        <w:pStyle w:val="ListParagraph"/>
        <w:numPr>
          <w:ilvl w:val="0"/>
          <w:numId w:val="25"/>
        </w:numPr>
        <w:spacing w:after="0" w:line="240" w:lineRule="auto"/>
        <w:ind w:left="540" w:hanging="540"/>
        <w:contextualSpacing w:val="0"/>
        <w:jc w:val="both"/>
        <w:rPr>
          <w:szCs w:val="24"/>
        </w:rPr>
      </w:pPr>
      <w:r w:rsidRPr="009F7FB9">
        <w:rPr>
          <w:szCs w:val="24"/>
        </w:rPr>
        <w:t xml:space="preserve">IT audit </w:t>
      </w:r>
      <w:r>
        <w:rPr>
          <w:szCs w:val="24"/>
        </w:rPr>
        <w:t>Reports</w:t>
      </w:r>
      <w:r w:rsidR="002A4369">
        <w:rPr>
          <w:szCs w:val="24"/>
        </w:rPr>
        <w:t xml:space="preserve"> as well as </w:t>
      </w:r>
      <w:r w:rsidRPr="002A4369">
        <w:rPr>
          <w:szCs w:val="24"/>
        </w:rPr>
        <w:t>Vulnerability Testing and Penetration Testing Reports</w:t>
      </w:r>
      <w:r w:rsidR="002A4369">
        <w:rPr>
          <w:szCs w:val="24"/>
        </w:rPr>
        <w:t>;</w:t>
      </w:r>
    </w:p>
    <w:p w:rsidR="00CF46B4" w:rsidRPr="00EB1959" w:rsidRDefault="00CF46B4" w:rsidP="002B3859">
      <w:pPr>
        <w:spacing w:after="0" w:line="240" w:lineRule="auto"/>
        <w:ind w:left="540" w:hanging="540"/>
        <w:jc w:val="both"/>
        <w:rPr>
          <w:sz w:val="22"/>
        </w:rPr>
      </w:pPr>
    </w:p>
    <w:p w:rsidR="002A4369" w:rsidRPr="002A4369" w:rsidRDefault="00CF46B4" w:rsidP="002A4369">
      <w:pPr>
        <w:pStyle w:val="ListParagraph"/>
        <w:numPr>
          <w:ilvl w:val="0"/>
          <w:numId w:val="25"/>
        </w:numPr>
        <w:spacing w:after="0" w:line="240" w:lineRule="auto"/>
        <w:ind w:left="540" w:hanging="540"/>
        <w:contextualSpacing w:val="0"/>
        <w:jc w:val="both"/>
        <w:rPr>
          <w:szCs w:val="24"/>
        </w:rPr>
      </w:pPr>
      <w:r w:rsidRPr="009F7FB9">
        <w:rPr>
          <w:szCs w:val="24"/>
        </w:rPr>
        <w:t>A documented Business Continuity Plan</w:t>
      </w:r>
      <w:r w:rsidR="002A4369">
        <w:rPr>
          <w:szCs w:val="24"/>
        </w:rPr>
        <w:t xml:space="preserve"> and a </w:t>
      </w:r>
      <w:r w:rsidRPr="002A4369">
        <w:rPr>
          <w:szCs w:val="24"/>
        </w:rPr>
        <w:t>Disaster Recovery Plan</w:t>
      </w:r>
      <w:r w:rsidR="002A4369">
        <w:rPr>
          <w:szCs w:val="24"/>
        </w:rPr>
        <w:t xml:space="preserve"> as well as Policies, Procedures</w:t>
      </w:r>
      <w:r w:rsidRPr="002A4369">
        <w:rPr>
          <w:szCs w:val="24"/>
        </w:rPr>
        <w:t xml:space="preserve"> and Controls for data backup</w:t>
      </w:r>
      <w:r w:rsidR="002A4369">
        <w:rPr>
          <w:szCs w:val="24"/>
        </w:rPr>
        <w:t>;</w:t>
      </w:r>
    </w:p>
    <w:p w:rsidR="00CF46B4" w:rsidRPr="002A4369" w:rsidRDefault="00CF46B4" w:rsidP="002A4369">
      <w:pPr>
        <w:spacing w:after="0" w:line="240" w:lineRule="auto"/>
        <w:jc w:val="both"/>
        <w:rPr>
          <w:sz w:val="22"/>
        </w:rPr>
      </w:pPr>
    </w:p>
    <w:p w:rsidR="00CF46B4" w:rsidRPr="009F7FB9" w:rsidRDefault="00CF46B4" w:rsidP="002B3859">
      <w:pPr>
        <w:pStyle w:val="ListParagraph"/>
        <w:numPr>
          <w:ilvl w:val="0"/>
          <w:numId w:val="25"/>
        </w:numPr>
        <w:spacing w:after="0" w:line="240" w:lineRule="auto"/>
        <w:ind w:left="540" w:hanging="540"/>
        <w:contextualSpacing w:val="0"/>
        <w:jc w:val="both"/>
        <w:rPr>
          <w:szCs w:val="24"/>
        </w:rPr>
      </w:pPr>
      <w:r>
        <w:rPr>
          <w:szCs w:val="24"/>
        </w:rPr>
        <w:t>T</w:t>
      </w:r>
      <w:r w:rsidRPr="009F7FB9">
        <w:rPr>
          <w:szCs w:val="24"/>
        </w:rPr>
        <w:t>he processes for monitoring capacity usage for storage, memory, and processing and for future operational requirements.</w:t>
      </w:r>
    </w:p>
    <w:p w:rsidR="00CF46B4" w:rsidRDefault="00CF46B4" w:rsidP="00CF46B4">
      <w:pPr>
        <w:autoSpaceDE w:val="0"/>
        <w:autoSpaceDN w:val="0"/>
        <w:adjustRightInd w:val="0"/>
        <w:spacing w:after="0" w:line="240" w:lineRule="auto"/>
        <w:jc w:val="both"/>
        <w:rPr>
          <w:b/>
          <w:szCs w:val="24"/>
          <w:lang w:val="en-AU"/>
        </w:rPr>
      </w:pPr>
    </w:p>
    <w:p w:rsidR="005C7ABB" w:rsidRDefault="005C7ABB" w:rsidP="00CF46B4">
      <w:pPr>
        <w:autoSpaceDE w:val="0"/>
        <w:autoSpaceDN w:val="0"/>
        <w:adjustRightInd w:val="0"/>
        <w:spacing w:after="0" w:line="240" w:lineRule="auto"/>
        <w:jc w:val="both"/>
        <w:rPr>
          <w:b/>
          <w:szCs w:val="24"/>
          <w:lang w:val="en-AU"/>
        </w:rPr>
      </w:pPr>
    </w:p>
    <w:p w:rsidR="00CF46B4" w:rsidRPr="00E7633C" w:rsidRDefault="00E7633C" w:rsidP="00CF46B4">
      <w:pPr>
        <w:autoSpaceDE w:val="0"/>
        <w:autoSpaceDN w:val="0"/>
        <w:adjustRightInd w:val="0"/>
        <w:spacing w:after="0" w:line="240" w:lineRule="auto"/>
        <w:jc w:val="both"/>
        <w:rPr>
          <w:b/>
          <w:i/>
          <w:szCs w:val="24"/>
          <w:lang w:val="en-AU"/>
        </w:rPr>
      </w:pPr>
      <w:r w:rsidRPr="00E7633C">
        <w:rPr>
          <w:b/>
          <w:i/>
          <w:szCs w:val="24"/>
          <w:lang w:val="en-AU"/>
        </w:rPr>
        <w:t>4.9.5</w:t>
      </w:r>
      <w:r w:rsidR="002B3859" w:rsidRPr="00E7633C">
        <w:rPr>
          <w:b/>
          <w:i/>
          <w:szCs w:val="24"/>
          <w:lang w:val="en-AU"/>
        </w:rPr>
        <w:tab/>
      </w:r>
      <w:r w:rsidR="00CF46B4" w:rsidRPr="00E7633C">
        <w:rPr>
          <w:b/>
          <w:i/>
          <w:szCs w:val="24"/>
          <w:lang w:val="en-AU"/>
        </w:rPr>
        <w:t>IT Governance of LAVIMS</w:t>
      </w:r>
    </w:p>
    <w:p w:rsidR="00CF46B4" w:rsidRDefault="00CF46B4" w:rsidP="00CF46B4">
      <w:pPr>
        <w:autoSpaceDE w:val="0"/>
        <w:autoSpaceDN w:val="0"/>
        <w:adjustRightInd w:val="0"/>
        <w:spacing w:after="0" w:line="240" w:lineRule="auto"/>
        <w:ind w:left="1080"/>
        <w:jc w:val="both"/>
        <w:rPr>
          <w:b/>
          <w:szCs w:val="24"/>
          <w:lang w:val="en-AU"/>
        </w:rPr>
      </w:pPr>
    </w:p>
    <w:p w:rsidR="00CF46B4" w:rsidRPr="00355579" w:rsidRDefault="00CF46B4" w:rsidP="00CF46B4">
      <w:pPr>
        <w:autoSpaceDE w:val="0"/>
        <w:autoSpaceDN w:val="0"/>
        <w:adjustRightInd w:val="0"/>
        <w:spacing w:after="0" w:line="240" w:lineRule="auto"/>
        <w:jc w:val="both"/>
        <w:rPr>
          <w:szCs w:val="24"/>
          <w:lang w:val="en-AU"/>
        </w:rPr>
      </w:pPr>
      <w:r>
        <w:rPr>
          <w:szCs w:val="24"/>
          <w:lang w:val="en-AU"/>
        </w:rPr>
        <w:t>The LAVIMS,</w:t>
      </w:r>
      <w:r w:rsidRPr="00355579">
        <w:rPr>
          <w:szCs w:val="24"/>
          <w:lang w:val="en-AU"/>
        </w:rPr>
        <w:t xml:space="preserve"> no doubt</w:t>
      </w:r>
      <w:r>
        <w:rPr>
          <w:szCs w:val="24"/>
          <w:lang w:val="en-AU"/>
        </w:rPr>
        <w:t>,</w:t>
      </w:r>
      <w:r w:rsidRPr="00355579">
        <w:rPr>
          <w:szCs w:val="24"/>
          <w:lang w:val="en-AU"/>
        </w:rPr>
        <w:t xml:space="preserve"> will foster greater </w:t>
      </w:r>
      <w:r>
        <w:rPr>
          <w:szCs w:val="24"/>
          <w:lang w:val="en-AU"/>
        </w:rPr>
        <w:t>a</w:t>
      </w:r>
      <w:r w:rsidRPr="00355579">
        <w:rPr>
          <w:szCs w:val="24"/>
          <w:lang w:val="en-AU"/>
        </w:rPr>
        <w:t>ccountability and transparency in land management in the island of Mauritius. IT will be the pillar to foster good governance and economic development</w:t>
      </w:r>
      <w:r>
        <w:rPr>
          <w:szCs w:val="24"/>
          <w:lang w:val="en-AU"/>
        </w:rPr>
        <w:t>,</w:t>
      </w:r>
      <w:r w:rsidRPr="00355579">
        <w:rPr>
          <w:szCs w:val="24"/>
          <w:lang w:val="en-AU"/>
        </w:rPr>
        <w:t xml:space="preserve"> instead of the present traditional, len</w:t>
      </w:r>
      <w:r>
        <w:rPr>
          <w:szCs w:val="24"/>
          <w:lang w:val="en-AU"/>
        </w:rPr>
        <w:t>gthy procedures in place at</w:t>
      </w:r>
      <w:r w:rsidRPr="00355579">
        <w:rPr>
          <w:szCs w:val="24"/>
          <w:lang w:val="en-AU"/>
        </w:rPr>
        <w:t xml:space="preserve"> the RGD or the ineffecti</w:t>
      </w:r>
      <w:r w:rsidR="002A4369">
        <w:rPr>
          <w:szCs w:val="24"/>
          <w:lang w:val="en-AU"/>
        </w:rPr>
        <w:t>ve cadastre system in place at the</w:t>
      </w:r>
      <w:r>
        <w:rPr>
          <w:szCs w:val="24"/>
          <w:lang w:val="en-AU"/>
        </w:rPr>
        <w:t xml:space="preserve"> Local A</w:t>
      </w:r>
      <w:r w:rsidRPr="00355579">
        <w:rPr>
          <w:szCs w:val="24"/>
          <w:lang w:val="en-AU"/>
        </w:rPr>
        <w:t>uthorities.</w:t>
      </w:r>
      <w:r>
        <w:rPr>
          <w:szCs w:val="24"/>
          <w:lang w:val="en-AU"/>
        </w:rPr>
        <w:t xml:space="preserve"> </w:t>
      </w:r>
      <w:r w:rsidRPr="00355579">
        <w:rPr>
          <w:szCs w:val="24"/>
          <w:lang w:val="en-AU"/>
        </w:rPr>
        <w:t xml:space="preserve">Given the availability of the LAVIMS </w:t>
      </w:r>
      <w:r w:rsidR="002A4369">
        <w:rPr>
          <w:szCs w:val="24"/>
          <w:lang w:val="en-AU"/>
        </w:rPr>
        <w:t>platform, management sh</w:t>
      </w:r>
      <w:r w:rsidRPr="00355579">
        <w:rPr>
          <w:szCs w:val="24"/>
          <w:lang w:val="en-AU"/>
        </w:rPr>
        <w:t>ould consider the following:</w:t>
      </w:r>
    </w:p>
    <w:p w:rsidR="00CF46B4" w:rsidRPr="00355579" w:rsidRDefault="00CF46B4" w:rsidP="00CF46B4">
      <w:pPr>
        <w:autoSpaceDE w:val="0"/>
        <w:autoSpaceDN w:val="0"/>
        <w:adjustRightInd w:val="0"/>
        <w:spacing w:after="0" w:line="240" w:lineRule="auto"/>
        <w:jc w:val="both"/>
        <w:rPr>
          <w:szCs w:val="24"/>
          <w:lang w:val="en-AU"/>
        </w:rPr>
      </w:pPr>
    </w:p>
    <w:p w:rsidR="002A4369" w:rsidRDefault="002A4369" w:rsidP="002A4369">
      <w:pPr>
        <w:pStyle w:val="ListParagraph"/>
        <w:numPr>
          <w:ilvl w:val="0"/>
          <w:numId w:val="22"/>
        </w:numPr>
        <w:autoSpaceDE w:val="0"/>
        <w:autoSpaceDN w:val="0"/>
        <w:adjustRightInd w:val="0"/>
        <w:spacing w:after="0" w:line="240" w:lineRule="auto"/>
        <w:ind w:left="540" w:hanging="540"/>
        <w:contextualSpacing w:val="0"/>
        <w:jc w:val="both"/>
        <w:rPr>
          <w:szCs w:val="24"/>
          <w:lang w:val="en-AU"/>
        </w:rPr>
      </w:pPr>
      <w:r>
        <w:rPr>
          <w:szCs w:val="24"/>
          <w:lang w:val="en-AU"/>
        </w:rPr>
        <w:t>T</w:t>
      </w:r>
      <w:r w:rsidRPr="00355579">
        <w:rPr>
          <w:szCs w:val="24"/>
          <w:lang w:val="en-AU"/>
        </w:rPr>
        <w:t>o put in place a proper IT structure</w:t>
      </w:r>
      <w:r>
        <w:rPr>
          <w:szCs w:val="24"/>
          <w:lang w:val="en-AU"/>
        </w:rPr>
        <w:t>,</w:t>
      </w:r>
      <w:r w:rsidRPr="00355579">
        <w:rPr>
          <w:szCs w:val="24"/>
          <w:lang w:val="en-AU"/>
        </w:rPr>
        <w:t xml:space="preserve"> with permanent qualified IT professionals</w:t>
      </w:r>
      <w:r>
        <w:rPr>
          <w:szCs w:val="24"/>
          <w:lang w:val="en-AU"/>
        </w:rPr>
        <w:t>.</w:t>
      </w:r>
    </w:p>
    <w:p w:rsidR="002A4369" w:rsidRDefault="002A4369" w:rsidP="002A4369">
      <w:pPr>
        <w:pStyle w:val="ListParagraph"/>
        <w:autoSpaceDE w:val="0"/>
        <w:autoSpaceDN w:val="0"/>
        <w:adjustRightInd w:val="0"/>
        <w:spacing w:after="0" w:line="240" w:lineRule="auto"/>
        <w:ind w:left="540"/>
        <w:contextualSpacing w:val="0"/>
        <w:jc w:val="both"/>
        <w:rPr>
          <w:szCs w:val="24"/>
          <w:lang w:val="en-AU"/>
        </w:rPr>
      </w:pPr>
    </w:p>
    <w:p w:rsidR="00CF46B4" w:rsidRDefault="00CF46B4" w:rsidP="00CF46B4">
      <w:pPr>
        <w:pStyle w:val="ListParagraph"/>
        <w:numPr>
          <w:ilvl w:val="0"/>
          <w:numId w:val="22"/>
        </w:numPr>
        <w:autoSpaceDE w:val="0"/>
        <w:autoSpaceDN w:val="0"/>
        <w:adjustRightInd w:val="0"/>
        <w:spacing w:after="0" w:line="240" w:lineRule="auto"/>
        <w:ind w:left="540" w:hanging="540"/>
        <w:contextualSpacing w:val="0"/>
        <w:jc w:val="both"/>
        <w:rPr>
          <w:szCs w:val="24"/>
          <w:lang w:val="en-AU"/>
        </w:rPr>
      </w:pPr>
      <w:r w:rsidRPr="00355579">
        <w:rPr>
          <w:szCs w:val="24"/>
          <w:lang w:val="en-AU"/>
        </w:rPr>
        <w:t>To carry out a post implementation review of the LAVIMS to ascertain and evaluate</w:t>
      </w:r>
      <w:r w:rsidR="00E43BEE">
        <w:rPr>
          <w:szCs w:val="24"/>
          <w:lang w:val="en-AU"/>
        </w:rPr>
        <w:t xml:space="preserve"> </w:t>
      </w:r>
      <w:r w:rsidRPr="00355579">
        <w:rPr>
          <w:szCs w:val="24"/>
          <w:lang w:val="en-AU"/>
        </w:rPr>
        <w:t>its strength, weaknesses, opportunities and threats</w:t>
      </w:r>
      <w:r w:rsidR="00E43BEE">
        <w:rPr>
          <w:szCs w:val="24"/>
          <w:lang w:val="en-AU"/>
        </w:rPr>
        <w:t xml:space="preserve"> </w:t>
      </w:r>
      <w:r w:rsidRPr="00355579">
        <w:rPr>
          <w:szCs w:val="24"/>
          <w:lang w:val="en-AU"/>
        </w:rPr>
        <w:t>internally as well as to other relevant stakeholders</w:t>
      </w:r>
      <w:r>
        <w:rPr>
          <w:szCs w:val="24"/>
          <w:lang w:val="en-AU"/>
        </w:rPr>
        <w:t>;</w:t>
      </w:r>
    </w:p>
    <w:p w:rsidR="00CF46B4" w:rsidRPr="005C7ABB" w:rsidRDefault="00CF46B4" w:rsidP="00CF46B4">
      <w:pPr>
        <w:pStyle w:val="ListParagraph"/>
        <w:autoSpaceDE w:val="0"/>
        <w:autoSpaceDN w:val="0"/>
        <w:adjustRightInd w:val="0"/>
        <w:spacing w:after="0" w:line="240" w:lineRule="auto"/>
        <w:ind w:left="540" w:hanging="540"/>
        <w:jc w:val="both"/>
        <w:rPr>
          <w:sz w:val="22"/>
          <w:lang w:val="en-AU"/>
        </w:rPr>
      </w:pPr>
    </w:p>
    <w:p w:rsidR="00CF46B4" w:rsidRPr="00355579" w:rsidRDefault="002A4369" w:rsidP="00CF46B4">
      <w:pPr>
        <w:pStyle w:val="ListParagraph"/>
        <w:numPr>
          <w:ilvl w:val="0"/>
          <w:numId w:val="22"/>
        </w:numPr>
        <w:autoSpaceDE w:val="0"/>
        <w:autoSpaceDN w:val="0"/>
        <w:adjustRightInd w:val="0"/>
        <w:spacing w:after="0" w:line="240" w:lineRule="auto"/>
        <w:ind w:left="540" w:hanging="540"/>
        <w:contextualSpacing w:val="0"/>
        <w:jc w:val="both"/>
        <w:rPr>
          <w:szCs w:val="24"/>
          <w:lang w:val="en-AU"/>
        </w:rPr>
      </w:pPr>
      <w:r>
        <w:rPr>
          <w:szCs w:val="24"/>
          <w:lang w:val="en-AU"/>
        </w:rPr>
        <w:t>T</w:t>
      </w:r>
      <w:r w:rsidR="00CF46B4">
        <w:rPr>
          <w:szCs w:val="24"/>
          <w:lang w:val="en-AU"/>
        </w:rPr>
        <w:t xml:space="preserve">o identify the State Lands </w:t>
      </w:r>
      <w:r>
        <w:rPr>
          <w:szCs w:val="24"/>
          <w:lang w:val="en-AU"/>
        </w:rPr>
        <w:t xml:space="preserve">and </w:t>
      </w:r>
      <w:r w:rsidR="00CF46B4">
        <w:rPr>
          <w:szCs w:val="24"/>
          <w:lang w:val="en-AU"/>
        </w:rPr>
        <w:t>to bring them in the LAVIMS system;</w:t>
      </w:r>
    </w:p>
    <w:p w:rsidR="00CF46B4" w:rsidRPr="005C7ABB" w:rsidRDefault="00CF46B4" w:rsidP="00CF46B4">
      <w:pPr>
        <w:autoSpaceDE w:val="0"/>
        <w:autoSpaceDN w:val="0"/>
        <w:adjustRightInd w:val="0"/>
        <w:spacing w:after="0" w:line="240" w:lineRule="auto"/>
        <w:ind w:left="540" w:hanging="540"/>
        <w:jc w:val="both"/>
        <w:rPr>
          <w:sz w:val="22"/>
          <w:lang w:val="en-AU"/>
        </w:rPr>
      </w:pPr>
    </w:p>
    <w:p w:rsidR="00CF46B4" w:rsidRPr="00355579" w:rsidRDefault="00CF46B4" w:rsidP="00CF46B4">
      <w:pPr>
        <w:pStyle w:val="ListParagraph"/>
        <w:numPr>
          <w:ilvl w:val="0"/>
          <w:numId w:val="22"/>
        </w:numPr>
        <w:autoSpaceDE w:val="0"/>
        <w:autoSpaceDN w:val="0"/>
        <w:adjustRightInd w:val="0"/>
        <w:spacing w:after="0" w:line="240" w:lineRule="auto"/>
        <w:ind w:left="540" w:hanging="540"/>
        <w:contextualSpacing w:val="0"/>
        <w:jc w:val="both"/>
        <w:rPr>
          <w:szCs w:val="24"/>
          <w:lang w:val="en-AU"/>
        </w:rPr>
      </w:pPr>
      <w:r w:rsidRPr="00355579">
        <w:rPr>
          <w:szCs w:val="24"/>
          <w:lang w:val="en-AU"/>
        </w:rPr>
        <w:t xml:space="preserve">To come up with a road map for the effective utilisation of </w:t>
      </w:r>
      <w:r>
        <w:rPr>
          <w:szCs w:val="24"/>
          <w:lang w:val="en-AU"/>
        </w:rPr>
        <w:t xml:space="preserve">the Valuation, Cadastre and </w:t>
      </w:r>
      <w:r w:rsidR="002A4369">
        <w:rPr>
          <w:szCs w:val="24"/>
          <w:lang w:val="en-AU"/>
        </w:rPr>
        <w:t>Information Management System</w:t>
      </w:r>
      <w:r w:rsidRPr="00355579">
        <w:rPr>
          <w:szCs w:val="24"/>
          <w:lang w:val="en-AU"/>
        </w:rPr>
        <w:t xml:space="preserve"> modules</w:t>
      </w:r>
      <w:r>
        <w:rPr>
          <w:szCs w:val="24"/>
          <w:lang w:val="en-AU"/>
        </w:rPr>
        <w:t>, especially as the Ministry is incurring some Rs 36 million annually as maintenance costs;</w:t>
      </w:r>
    </w:p>
    <w:p w:rsidR="00CF46B4" w:rsidRPr="002A4369" w:rsidRDefault="00CF46B4" w:rsidP="002A4369">
      <w:pPr>
        <w:autoSpaceDE w:val="0"/>
        <w:autoSpaceDN w:val="0"/>
        <w:adjustRightInd w:val="0"/>
        <w:spacing w:after="0" w:line="240" w:lineRule="auto"/>
        <w:jc w:val="both"/>
        <w:rPr>
          <w:sz w:val="22"/>
          <w:lang w:val="en-AU"/>
        </w:rPr>
      </w:pPr>
    </w:p>
    <w:p w:rsidR="00CF46B4" w:rsidRPr="00355579" w:rsidRDefault="00CF46B4" w:rsidP="00CF46B4">
      <w:pPr>
        <w:pStyle w:val="ListParagraph"/>
        <w:numPr>
          <w:ilvl w:val="0"/>
          <w:numId w:val="22"/>
        </w:numPr>
        <w:autoSpaceDE w:val="0"/>
        <w:autoSpaceDN w:val="0"/>
        <w:adjustRightInd w:val="0"/>
        <w:spacing w:after="0" w:line="240" w:lineRule="auto"/>
        <w:ind w:left="540" w:hanging="540"/>
        <w:contextualSpacing w:val="0"/>
        <w:jc w:val="both"/>
        <w:rPr>
          <w:szCs w:val="24"/>
          <w:lang w:val="en-AU"/>
        </w:rPr>
      </w:pPr>
      <w:r>
        <w:rPr>
          <w:szCs w:val="24"/>
          <w:lang w:val="en-AU"/>
        </w:rPr>
        <w:lastRenderedPageBreak/>
        <w:t>To develop an IT strategic plan;</w:t>
      </w:r>
    </w:p>
    <w:p w:rsidR="00CF46B4" w:rsidRPr="005C7ABB" w:rsidRDefault="00CF46B4" w:rsidP="00CF46B4">
      <w:pPr>
        <w:autoSpaceDE w:val="0"/>
        <w:autoSpaceDN w:val="0"/>
        <w:adjustRightInd w:val="0"/>
        <w:spacing w:after="0" w:line="240" w:lineRule="auto"/>
        <w:ind w:left="540" w:hanging="540"/>
        <w:jc w:val="both"/>
        <w:rPr>
          <w:sz w:val="22"/>
          <w:lang w:val="en-AU"/>
        </w:rPr>
      </w:pPr>
    </w:p>
    <w:p w:rsidR="00CF46B4" w:rsidRPr="00355579" w:rsidRDefault="00CF46B4" w:rsidP="00CF46B4">
      <w:pPr>
        <w:pStyle w:val="ListParagraph"/>
        <w:numPr>
          <w:ilvl w:val="0"/>
          <w:numId w:val="22"/>
        </w:numPr>
        <w:autoSpaceDE w:val="0"/>
        <w:autoSpaceDN w:val="0"/>
        <w:adjustRightInd w:val="0"/>
        <w:spacing w:after="0" w:line="240" w:lineRule="auto"/>
        <w:ind w:left="540" w:hanging="540"/>
        <w:contextualSpacing w:val="0"/>
        <w:jc w:val="both"/>
        <w:rPr>
          <w:szCs w:val="24"/>
          <w:lang w:val="en-AU"/>
        </w:rPr>
      </w:pPr>
      <w:r>
        <w:rPr>
          <w:szCs w:val="24"/>
          <w:lang w:val="en-AU"/>
        </w:rPr>
        <w:t xml:space="preserve">To carry out </w:t>
      </w:r>
      <w:r w:rsidRPr="00355579">
        <w:rPr>
          <w:szCs w:val="24"/>
          <w:lang w:val="en-AU"/>
        </w:rPr>
        <w:t>IT Audit of the LAVIMS</w:t>
      </w:r>
      <w:r>
        <w:rPr>
          <w:szCs w:val="24"/>
          <w:lang w:val="en-AU"/>
        </w:rPr>
        <w:t>;</w:t>
      </w:r>
    </w:p>
    <w:p w:rsidR="00CF46B4" w:rsidRPr="005C7ABB" w:rsidRDefault="00CF46B4" w:rsidP="00CF46B4">
      <w:pPr>
        <w:autoSpaceDE w:val="0"/>
        <w:autoSpaceDN w:val="0"/>
        <w:adjustRightInd w:val="0"/>
        <w:spacing w:after="0" w:line="240" w:lineRule="auto"/>
        <w:ind w:left="540" w:hanging="540"/>
        <w:jc w:val="both"/>
        <w:rPr>
          <w:sz w:val="22"/>
          <w:lang w:val="en-AU"/>
        </w:rPr>
      </w:pPr>
    </w:p>
    <w:p w:rsidR="00CF46B4" w:rsidRPr="00355579" w:rsidRDefault="00CF46B4" w:rsidP="00CF46B4">
      <w:pPr>
        <w:pStyle w:val="ListParagraph"/>
        <w:numPr>
          <w:ilvl w:val="0"/>
          <w:numId w:val="22"/>
        </w:numPr>
        <w:autoSpaceDE w:val="0"/>
        <w:autoSpaceDN w:val="0"/>
        <w:adjustRightInd w:val="0"/>
        <w:spacing w:after="0" w:line="240" w:lineRule="auto"/>
        <w:ind w:left="540" w:hanging="540"/>
        <w:contextualSpacing w:val="0"/>
        <w:jc w:val="both"/>
        <w:rPr>
          <w:szCs w:val="24"/>
          <w:lang w:val="en-AU"/>
        </w:rPr>
      </w:pPr>
      <w:r w:rsidRPr="00355579">
        <w:rPr>
          <w:szCs w:val="24"/>
          <w:lang w:val="en-AU"/>
        </w:rPr>
        <w:t>T</w:t>
      </w:r>
      <w:r>
        <w:rPr>
          <w:szCs w:val="24"/>
          <w:lang w:val="en-AU"/>
        </w:rPr>
        <w:t>o ensure t</w:t>
      </w:r>
      <w:r w:rsidRPr="00355579">
        <w:rPr>
          <w:szCs w:val="24"/>
          <w:lang w:val="en-AU"/>
        </w:rPr>
        <w:t xml:space="preserve">he effective use of LAVIMS </w:t>
      </w:r>
      <w:proofErr w:type="spellStart"/>
      <w:r w:rsidRPr="00355579">
        <w:rPr>
          <w:szCs w:val="24"/>
          <w:lang w:val="en-AU"/>
        </w:rPr>
        <w:t>viz</w:t>
      </w:r>
      <w:proofErr w:type="spellEnd"/>
      <w:r w:rsidRPr="00355579">
        <w:rPr>
          <w:szCs w:val="24"/>
          <w:lang w:val="en-AU"/>
        </w:rPr>
        <w:t xml:space="preserve"> </w:t>
      </w:r>
      <w:proofErr w:type="spellStart"/>
      <w:r w:rsidRPr="00355579">
        <w:rPr>
          <w:szCs w:val="24"/>
          <w:lang w:val="en-AU"/>
        </w:rPr>
        <w:t>MeRP</w:t>
      </w:r>
      <w:proofErr w:type="spellEnd"/>
      <w:r w:rsidRPr="00355579">
        <w:rPr>
          <w:szCs w:val="24"/>
          <w:lang w:val="en-AU"/>
        </w:rPr>
        <w:t xml:space="preserve"> system of the R</w:t>
      </w:r>
      <w:r>
        <w:rPr>
          <w:szCs w:val="24"/>
          <w:lang w:val="en-AU"/>
        </w:rPr>
        <w:t>GD and the Valuation Department, tog</w:t>
      </w:r>
      <w:r w:rsidR="00C36688">
        <w:rPr>
          <w:szCs w:val="24"/>
          <w:lang w:val="en-AU"/>
        </w:rPr>
        <w:t>ether with User Acceptance Tests</w:t>
      </w:r>
      <w:r>
        <w:rPr>
          <w:szCs w:val="24"/>
          <w:lang w:val="en-AU"/>
        </w:rPr>
        <w:t>;</w:t>
      </w:r>
    </w:p>
    <w:p w:rsidR="00CF46B4" w:rsidRPr="005C7ABB" w:rsidRDefault="00CF46B4" w:rsidP="00CF46B4">
      <w:pPr>
        <w:autoSpaceDE w:val="0"/>
        <w:autoSpaceDN w:val="0"/>
        <w:adjustRightInd w:val="0"/>
        <w:spacing w:after="0" w:line="240" w:lineRule="auto"/>
        <w:ind w:left="540" w:hanging="540"/>
        <w:jc w:val="both"/>
        <w:rPr>
          <w:sz w:val="22"/>
          <w:lang w:val="en-AU"/>
        </w:rPr>
      </w:pPr>
    </w:p>
    <w:p w:rsidR="00CF46B4" w:rsidRDefault="00CF46B4" w:rsidP="00CF46B4">
      <w:pPr>
        <w:pStyle w:val="ListParagraph"/>
        <w:numPr>
          <w:ilvl w:val="0"/>
          <w:numId w:val="22"/>
        </w:numPr>
        <w:autoSpaceDE w:val="0"/>
        <w:autoSpaceDN w:val="0"/>
        <w:adjustRightInd w:val="0"/>
        <w:spacing w:after="0" w:line="240" w:lineRule="auto"/>
        <w:ind w:left="540" w:hanging="540"/>
        <w:contextualSpacing w:val="0"/>
        <w:jc w:val="both"/>
        <w:rPr>
          <w:szCs w:val="24"/>
          <w:lang w:val="en-AU"/>
        </w:rPr>
      </w:pPr>
      <w:r>
        <w:rPr>
          <w:szCs w:val="24"/>
          <w:lang w:val="en-AU"/>
        </w:rPr>
        <w:t>To i</w:t>
      </w:r>
      <w:r w:rsidRPr="00355579">
        <w:rPr>
          <w:szCs w:val="24"/>
          <w:lang w:val="en-AU"/>
        </w:rPr>
        <w:t xml:space="preserve">nvestigate </w:t>
      </w:r>
      <w:r>
        <w:rPr>
          <w:szCs w:val="24"/>
          <w:lang w:val="en-AU"/>
        </w:rPr>
        <w:t>reasons why payments were released to the C</w:t>
      </w:r>
      <w:r w:rsidRPr="00355579">
        <w:rPr>
          <w:szCs w:val="24"/>
          <w:lang w:val="en-AU"/>
        </w:rPr>
        <w:t>ontractor though relevant stakehol</w:t>
      </w:r>
      <w:r w:rsidR="00C36688">
        <w:rPr>
          <w:szCs w:val="24"/>
          <w:lang w:val="en-AU"/>
        </w:rPr>
        <w:t>der, namely the Valuation Department</w:t>
      </w:r>
      <w:r w:rsidRPr="00355579">
        <w:rPr>
          <w:szCs w:val="24"/>
          <w:lang w:val="en-AU"/>
        </w:rPr>
        <w:t>, adversely reported on the Valuation module</w:t>
      </w:r>
      <w:r>
        <w:rPr>
          <w:szCs w:val="24"/>
          <w:lang w:val="en-AU"/>
        </w:rPr>
        <w:t>;</w:t>
      </w:r>
    </w:p>
    <w:p w:rsidR="00CF46B4" w:rsidRPr="005C7ABB" w:rsidRDefault="00CF46B4" w:rsidP="00CF46B4">
      <w:pPr>
        <w:pStyle w:val="ListParagraph"/>
        <w:autoSpaceDE w:val="0"/>
        <w:autoSpaceDN w:val="0"/>
        <w:adjustRightInd w:val="0"/>
        <w:spacing w:after="0" w:line="240" w:lineRule="auto"/>
        <w:ind w:left="540" w:hanging="540"/>
        <w:jc w:val="both"/>
        <w:rPr>
          <w:sz w:val="22"/>
          <w:lang w:val="en-AU"/>
        </w:rPr>
      </w:pPr>
    </w:p>
    <w:p w:rsidR="009A01E1" w:rsidRDefault="00CF46B4" w:rsidP="00CF5CC4">
      <w:pPr>
        <w:pStyle w:val="ListParagraph"/>
        <w:numPr>
          <w:ilvl w:val="0"/>
          <w:numId w:val="22"/>
        </w:numPr>
        <w:autoSpaceDE w:val="0"/>
        <w:autoSpaceDN w:val="0"/>
        <w:adjustRightInd w:val="0"/>
        <w:spacing w:after="0" w:line="240" w:lineRule="auto"/>
        <w:ind w:left="540" w:hanging="540"/>
        <w:contextualSpacing w:val="0"/>
        <w:jc w:val="both"/>
        <w:rPr>
          <w:szCs w:val="24"/>
          <w:lang w:val="en-AU"/>
        </w:rPr>
      </w:pPr>
      <w:r w:rsidRPr="006E6CE6">
        <w:rPr>
          <w:szCs w:val="24"/>
          <w:lang w:val="en-AU"/>
        </w:rPr>
        <w:t>To consider claiming liquidated damages from the Contractor.</w:t>
      </w:r>
    </w:p>
    <w:p w:rsidR="009A01E1" w:rsidRDefault="00A427E2">
      <w:pPr>
        <w:rPr>
          <w:szCs w:val="24"/>
          <w:lang w:val="en-AU"/>
        </w:rPr>
      </w:pPr>
      <w:r>
        <w:rPr>
          <w:noProof/>
          <w:szCs w:val="24"/>
          <w:lang w:val="en-GB" w:eastAsia="en-GB"/>
        </w:rPr>
        <w:pict w14:anchorId="5C6C5661">
          <v:shape id="_x0000_s1027" type="#_x0000_t202" style="position:absolute;margin-left:384.75pt;margin-top:572.5pt;width:105.35pt;height:22.5pt;z-index:251659264;visibility:visible;mso-wrap-distance-top:3.6pt;mso-wrap-distance-bottom:3.6pt;mso-width-relative:margin;mso-height-relative:margin" stroked="f">
            <v:textbox>
              <w:txbxContent>
                <w:p w:rsidR="006C31CB" w:rsidRPr="009F119E" w:rsidRDefault="00A427E2" w:rsidP="006C31CB">
                  <w:pPr>
                    <w:jc w:val="center"/>
                    <w:rPr>
                      <w:color w:val="7030A0"/>
                      <w:u w:val="single"/>
                    </w:rPr>
                  </w:pPr>
                  <w:hyperlink r:id="rId9" w:history="1">
                    <w:r w:rsidR="006C31CB" w:rsidRPr="009F119E">
                      <w:rPr>
                        <w:rStyle w:val="Hyperlink"/>
                      </w:rPr>
                      <w:t>Back to Contents</w:t>
                    </w:r>
                  </w:hyperlink>
                </w:p>
              </w:txbxContent>
            </v:textbox>
            <w10:wrap type="square"/>
          </v:shape>
        </w:pict>
      </w:r>
      <w:r w:rsidR="009A01E1">
        <w:rPr>
          <w:szCs w:val="24"/>
          <w:lang w:val="en-AU"/>
        </w:rPr>
        <w:br w:type="page"/>
      </w:r>
    </w:p>
    <w:p w:rsidR="00CF46B4" w:rsidRPr="006E6CE6" w:rsidRDefault="00CF46B4" w:rsidP="009A01E1">
      <w:pPr>
        <w:pStyle w:val="ListParagraph"/>
        <w:autoSpaceDE w:val="0"/>
        <w:autoSpaceDN w:val="0"/>
        <w:adjustRightInd w:val="0"/>
        <w:spacing w:after="0" w:line="240" w:lineRule="auto"/>
        <w:ind w:left="540"/>
        <w:contextualSpacing w:val="0"/>
        <w:jc w:val="both"/>
        <w:rPr>
          <w:szCs w:val="24"/>
          <w:lang w:val="en-AU"/>
        </w:rPr>
      </w:pPr>
    </w:p>
    <w:sectPr w:rsidR="00CF46B4" w:rsidRPr="006E6CE6" w:rsidSect="002F1AAF">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800" w:header="720" w:footer="720" w:gutter="0"/>
      <w:pgNumType w:start="1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369" w:rsidRDefault="002A4369" w:rsidP="000A26BA">
      <w:pPr>
        <w:spacing w:after="0" w:line="240" w:lineRule="auto"/>
      </w:pPr>
      <w:r>
        <w:separator/>
      </w:r>
    </w:p>
  </w:endnote>
  <w:endnote w:type="continuationSeparator" w:id="0">
    <w:p w:rsidR="002A4369" w:rsidRDefault="002A4369" w:rsidP="000A2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FD6" w:rsidRDefault="00423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5418"/>
      <w:docPartObj>
        <w:docPartGallery w:val="Page Numbers (Bottom of Page)"/>
        <w:docPartUnique/>
      </w:docPartObj>
    </w:sdtPr>
    <w:sdtEndPr/>
    <w:sdtContent>
      <w:p w:rsidR="002A4369" w:rsidRPr="000A26BA" w:rsidRDefault="00414332" w:rsidP="000A26BA">
        <w:pPr>
          <w:tabs>
            <w:tab w:val="center" w:pos="4680"/>
            <w:tab w:val="right" w:pos="9360"/>
          </w:tabs>
          <w:spacing w:after="0" w:line="240" w:lineRule="auto"/>
          <w:jc w:val="center"/>
        </w:pPr>
        <w:r>
          <w:fldChar w:fldCharType="begin"/>
        </w:r>
        <w:r>
          <w:instrText xml:space="preserve"> PAGE   \* MERGEFORMAT </w:instrText>
        </w:r>
        <w:r>
          <w:fldChar w:fldCharType="separate"/>
        </w:r>
        <w:r w:rsidR="00A427E2">
          <w:rPr>
            <w:noProof/>
          </w:rPr>
          <w:t>126</w:t>
        </w:r>
        <w:r>
          <w:rPr>
            <w:noProof/>
          </w:rPr>
          <w:fldChar w:fldCharType="end"/>
        </w:r>
      </w:p>
    </w:sdtContent>
  </w:sdt>
  <w:p w:rsidR="002A4369" w:rsidRPr="000A26BA" w:rsidRDefault="002A4369" w:rsidP="000A26BA">
    <w:pPr>
      <w:tabs>
        <w:tab w:val="center" w:pos="4680"/>
        <w:tab w:val="right" w:pos="9360"/>
      </w:tabs>
      <w:spacing w:after="0" w:line="240" w:lineRule="auto"/>
      <w:jc w:val="center"/>
      <w:rPr>
        <w:sz w:val="18"/>
        <w:szCs w:val="18"/>
      </w:rPr>
    </w:pPr>
    <w:r w:rsidRPr="000A26BA">
      <w:rPr>
        <w:smallCaps/>
        <w:sz w:val="18"/>
        <w:szCs w:val="18"/>
      </w:rPr>
      <w:t>Vice Prime Minister’s Office, Ministry of Housing and Lands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868895"/>
      <w:docPartObj>
        <w:docPartGallery w:val="Page Numbers (Bottom of Page)"/>
        <w:docPartUnique/>
      </w:docPartObj>
    </w:sdtPr>
    <w:sdtEndPr>
      <w:rPr>
        <w:noProof/>
      </w:rPr>
    </w:sdtEndPr>
    <w:sdtContent>
      <w:p w:rsidR="002A4369" w:rsidRDefault="00414332">
        <w:pPr>
          <w:pStyle w:val="Footer"/>
          <w:jc w:val="center"/>
        </w:pPr>
        <w:r>
          <w:fldChar w:fldCharType="begin"/>
        </w:r>
        <w:r>
          <w:instrText xml:space="preserve"> PAGE   \* MERGEFORMAT </w:instrText>
        </w:r>
        <w:r>
          <w:fldChar w:fldCharType="separate"/>
        </w:r>
        <w:r w:rsidR="00A427E2">
          <w:rPr>
            <w:noProof/>
          </w:rPr>
          <w:t>111</w:t>
        </w:r>
        <w:r>
          <w:rPr>
            <w:noProof/>
          </w:rPr>
          <w:fldChar w:fldCharType="end"/>
        </w:r>
      </w:p>
    </w:sdtContent>
  </w:sdt>
  <w:p w:rsidR="002A4369" w:rsidRPr="00664872" w:rsidRDefault="002A4369" w:rsidP="00664872">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369" w:rsidRDefault="002A4369" w:rsidP="000A26BA">
      <w:pPr>
        <w:spacing w:after="0" w:line="240" w:lineRule="auto"/>
      </w:pPr>
      <w:r>
        <w:separator/>
      </w:r>
    </w:p>
  </w:footnote>
  <w:footnote w:type="continuationSeparator" w:id="0">
    <w:p w:rsidR="002A4369" w:rsidRDefault="002A4369" w:rsidP="000A2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FD6" w:rsidRDefault="00423F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FD6" w:rsidRDefault="00423F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369" w:rsidRDefault="002A4369" w:rsidP="00AD2E3E">
    <w:pPr>
      <w:spacing w:after="0" w:line="240" w:lineRule="auto"/>
      <w:jc w:val="center"/>
    </w:pPr>
    <w:r>
      <w:rPr>
        <w:b/>
        <w:smallCaps/>
        <w:sz w:val="40"/>
        <w:szCs w:val="40"/>
      </w:rPr>
      <w:t>4 -</w:t>
    </w:r>
    <w:r w:rsidRPr="00CF46B4">
      <w:rPr>
        <w:b/>
        <w:smallCaps/>
        <w:sz w:val="40"/>
        <w:szCs w:val="40"/>
      </w:rPr>
      <w:t xml:space="preserve"> Vice Prime Minister’</w:t>
    </w:r>
    <w:r>
      <w:rPr>
        <w:b/>
        <w:smallCaps/>
        <w:sz w:val="40"/>
        <w:szCs w:val="40"/>
      </w:rPr>
      <w:t xml:space="preserve">s Office, </w:t>
    </w:r>
    <w:r>
      <w:rPr>
        <w:b/>
        <w:smallCaps/>
        <w:sz w:val="40"/>
        <w:szCs w:val="40"/>
      </w:rPr>
      <w:br/>
    </w:r>
    <w:r w:rsidRPr="00CF46B4">
      <w:rPr>
        <w:b/>
        <w:smallCaps/>
        <w:sz w:val="40"/>
        <w:szCs w:val="40"/>
      </w:rPr>
      <w:t>Ministry of Housing and Lands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3646"/>
    <w:multiLevelType w:val="hybridMultilevel"/>
    <w:tmpl w:val="CAF6DC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A590A"/>
    <w:multiLevelType w:val="hybridMultilevel"/>
    <w:tmpl w:val="2940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C7E97"/>
    <w:multiLevelType w:val="hybridMultilevel"/>
    <w:tmpl w:val="C0E0C6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00F2F"/>
    <w:multiLevelType w:val="hybridMultilevel"/>
    <w:tmpl w:val="2C4E3536"/>
    <w:lvl w:ilvl="0" w:tplc="D5A6E85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F4DB4"/>
    <w:multiLevelType w:val="hybridMultilevel"/>
    <w:tmpl w:val="E83AB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B6B4A"/>
    <w:multiLevelType w:val="hybridMultilevel"/>
    <w:tmpl w:val="72B0432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9FD3AA4"/>
    <w:multiLevelType w:val="hybridMultilevel"/>
    <w:tmpl w:val="CD966A5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EA0D87"/>
    <w:multiLevelType w:val="hybridMultilevel"/>
    <w:tmpl w:val="7AD6FE8A"/>
    <w:lvl w:ilvl="0" w:tplc="7D6E5CFA">
      <w:start w:val="1"/>
      <w:numFmt w:val="lowerRoman"/>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745D1"/>
    <w:multiLevelType w:val="hybridMultilevel"/>
    <w:tmpl w:val="E356F6DE"/>
    <w:lvl w:ilvl="0" w:tplc="587E677E">
      <w:start w:val="1"/>
      <w:numFmt w:val="lowerRoman"/>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470030E"/>
    <w:multiLevelType w:val="hybridMultilevel"/>
    <w:tmpl w:val="9E34B1DC"/>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4964C7C"/>
    <w:multiLevelType w:val="hybridMultilevel"/>
    <w:tmpl w:val="0CF675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8F6A47"/>
    <w:multiLevelType w:val="hybridMultilevel"/>
    <w:tmpl w:val="09AEC92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33C49"/>
    <w:multiLevelType w:val="hybridMultilevel"/>
    <w:tmpl w:val="19ECBA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3" w15:restartNumberingAfterBreak="0">
    <w:nsid w:val="2C4222A2"/>
    <w:multiLevelType w:val="hybridMultilevel"/>
    <w:tmpl w:val="BD12E332"/>
    <w:lvl w:ilvl="0" w:tplc="D5A6E850">
      <w:start w:val="1"/>
      <w:numFmt w:val="bullet"/>
      <w:lvlText w:val=""/>
      <w:lvlJc w:val="left"/>
      <w:pPr>
        <w:ind w:left="420" w:hanging="360"/>
      </w:pPr>
      <w:rPr>
        <w:rFonts w:ascii="Wingdings" w:hAnsi="Wingdings" w:hint="default"/>
        <w:color w:val="auto"/>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2F8E05A9"/>
    <w:multiLevelType w:val="hybridMultilevel"/>
    <w:tmpl w:val="8AC4EC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B23428"/>
    <w:multiLevelType w:val="hybridMultilevel"/>
    <w:tmpl w:val="4066EF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5E26D0"/>
    <w:multiLevelType w:val="hybridMultilevel"/>
    <w:tmpl w:val="A450340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F21FAC"/>
    <w:multiLevelType w:val="hybridMultilevel"/>
    <w:tmpl w:val="824E5A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956EC2"/>
    <w:multiLevelType w:val="hybridMultilevel"/>
    <w:tmpl w:val="A6CEA138"/>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CDB2065"/>
    <w:multiLevelType w:val="hybridMultilevel"/>
    <w:tmpl w:val="E9F054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56293E"/>
    <w:multiLevelType w:val="hybridMultilevel"/>
    <w:tmpl w:val="F0B858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F937C4"/>
    <w:multiLevelType w:val="hybridMultilevel"/>
    <w:tmpl w:val="14067E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FB49C4"/>
    <w:multiLevelType w:val="hybridMultilevel"/>
    <w:tmpl w:val="465E060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B3144F"/>
    <w:multiLevelType w:val="hybridMultilevel"/>
    <w:tmpl w:val="BE16C9EA"/>
    <w:lvl w:ilvl="0" w:tplc="587E677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68324E8"/>
    <w:multiLevelType w:val="hybridMultilevel"/>
    <w:tmpl w:val="38A694B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EF14BD"/>
    <w:multiLevelType w:val="hybridMultilevel"/>
    <w:tmpl w:val="915AB026"/>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EC032F7"/>
    <w:multiLevelType w:val="hybridMultilevel"/>
    <w:tmpl w:val="C124269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31277D9"/>
    <w:multiLevelType w:val="hybridMultilevel"/>
    <w:tmpl w:val="035EAE8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F32537"/>
    <w:multiLevelType w:val="hybridMultilevel"/>
    <w:tmpl w:val="BA68B4BE"/>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49E4D7E"/>
    <w:multiLevelType w:val="hybridMultilevel"/>
    <w:tmpl w:val="607280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66393"/>
    <w:multiLevelType w:val="hybridMultilevel"/>
    <w:tmpl w:val="9134F1FE"/>
    <w:lvl w:ilvl="0" w:tplc="04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7"/>
  </w:num>
  <w:num w:numId="2">
    <w:abstractNumId w:val="25"/>
  </w:num>
  <w:num w:numId="3">
    <w:abstractNumId w:val="16"/>
  </w:num>
  <w:num w:numId="4">
    <w:abstractNumId w:val="12"/>
  </w:num>
  <w:num w:numId="5">
    <w:abstractNumId w:val="30"/>
  </w:num>
  <w:num w:numId="6">
    <w:abstractNumId w:val="3"/>
  </w:num>
  <w:num w:numId="7">
    <w:abstractNumId w:val="21"/>
  </w:num>
  <w:num w:numId="8">
    <w:abstractNumId w:val="17"/>
  </w:num>
  <w:num w:numId="9">
    <w:abstractNumId w:val="5"/>
  </w:num>
  <w:num w:numId="10">
    <w:abstractNumId w:val="29"/>
  </w:num>
  <w:num w:numId="11">
    <w:abstractNumId w:val="0"/>
  </w:num>
  <w:num w:numId="12">
    <w:abstractNumId w:val="14"/>
  </w:num>
  <w:num w:numId="13">
    <w:abstractNumId w:val="24"/>
  </w:num>
  <w:num w:numId="14">
    <w:abstractNumId w:val="6"/>
  </w:num>
  <w:num w:numId="15">
    <w:abstractNumId w:val="13"/>
  </w:num>
  <w:num w:numId="16">
    <w:abstractNumId w:val="20"/>
  </w:num>
  <w:num w:numId="17">
    <w:abstractNumId w:val="1"/>
  </w:num>
  <w:num w:numId="18">
    <w:abstractNumId w:val="7"/>
  </w:num>
  <w:num w:numId="19">
    <w:abstractNumId w:val="2"/>
  </w:num>
  <w:num w:numId="20">
    <w:abstractNumId w:val="19"/>
  </w:num>
  <w:num w:numId="21">
    <w:abstractNumId w:val="9"/>
  </w:num>
  <w:num w:numId="22">
    <w:abstractNumId w:val="8"/>
  </w:num>
  <w:num w:numId="23">
    <w:abstractNumId w:val="10"/>
  </w:num>
  <w:num w:numId="24">
    <w:abstractNumId w:val="18"/>
  </w:num>
  <w:num w:numId="25">
    <w:abstractNumId w:val="23"/>
  </w:num>
  <w:num w:numId="26">
    <w:abstractNumId w:val="22"/>
  </w:num>
  <w:num w:numId="27">
    <w:abstractNumId w:val="11"/>
  </w:num>
  <w:num w:numId="28">
    <w:abstractNumId w:val="28"/>
  </w:num>
  <w:num w:numId="29">
    <w:abstractNumId w:val="15"/>
  </w:num>
  <w:num w:numId="30">
    <w:abstractNumId w:val="4"/>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A91BDD"/>
    <w:rsid w:val="000A26BA"/>
    <w:rsid w:val="00170692"/>
    <w:rsid w:val="002A4369"/>
    <w:rsid w:val="002B3859"/>
    <w:rsid w:val="002D752D"/>
    <w:rsid w:val="002F1136"/>
    <w:rsid w:val="002F1AAF"/>
    <w:rsid w:val="00310E0F"/>
    <w:rsid w:val="00325A8E"/>
    <w:rsid w:val="0035601E"/>
    <w:rsid w:val="00372A02"/>
    <w:rsid w:val="003E48BC"/>
    <w:rsid w:val="00414332"/>
    <w:rsid w:val="00423FD6"/>
    <w:rsid w:val="00430A12"/>
    <w:rsid w:val="00431AB6"/>
    <w:rsid w:val="004E2FBA"/>
    <w:rsid w:val="005C7ABB"/>
    <w:rsid w:val="005F6086"/>
    <w:rsid w:val="00650810"/>
    <w:rsid w:val="00664872"/>
    <w:rsid w:val="00695CE0"/>
    <w:rsid w:val="0069663D"/>
    <w:rsid w:val="006C31CB"/>
    <w:rsid w:val="006E2489"/>
    <w:rsid w:val="006E69E3"/>
    <w:rsid w:val="006E6CE6"/>
    <w:rsid w:val="007C2FC3"/>
    <w:rsid w:val="008C084B"/>
    <w:rsid w:val="00927FDF"/>
    <w:rsid w:val="00963B8F"/>
    <w:rsid w:val="009A01E1"/>
    <w:rsid w:val="009F58DA"/>
    <w:rsid w:val="009F6E67"/>
    <w:rsid w:val="00A427E2"/>
    <w:rsid w:val="00A754B9"/>
    <w:rsid w:val="00A91BDD"/>
    <w:rsid w:val="00A97204"/>
    <w:rsid w:val="00AD08B6"/>
    <w:rsid w:val="00AD2E3E"/>
    <w:rsid w:val="00AF01D9"/>
    <w:rsid w:val="00B36526"/>
    <w:rsid w:val="00BA46A4"/>
    <w:rsid w:val="00BE5DAD"/>
    <w:rsid w:val="00C213CA"/>
    <w:rsid w:val="00C274C8"/>
    <w:rsid w:val="00C36688"/>
    <w:rsid w:val="00C73463"/>
    <w:rsid w:val="00C873F1"/>
    <w:rsid w:val="00CF46B4"/>
    <w:rsid w:val="00CF5CC4"/>
    <w:rsid w:val="00D10C06"/>
    <w:rsid w:val="00DE04DB"/>
    <w:rsid w:val="00E2320A"/>
    <w:rsid w:val="00E3491A"/>
    <w:rsid w:val="00E43BEE"/>
    <w:rsid w:val="00E7633C"/>
    <w:rsid w:val="00EB1959"/>
    <w:rsid w:val="00F3277D"/>
    <w:rsid w:val="00F8458B"/>
    <w:rsid w:val="00F862BA"/>
    <w:rsid w:val="00FC0FC3"/>
    <w:rsid w:val="00FD37F2"/>
    <w:rsid w:val="00FF3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3DF79497-5693-4FD6-BD1B-07622DC2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6B4"/>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6B4"/>
    <w:pPr>
      <w:ind w:left="720"/>
      <w:contextualSpacing/>
    </w:pPr>
  </w:style>
  <w:style w:type="table" w:styleId="TableGrid">
    <w:name w:val="Table Grid"/>
    <w:basedOn w:val="TableNormal"/>
    <w:uiPriority w:val="39"/>
    <w:rsid w:val="00CF4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46B4"/>
    <w:pPr>
      <w:spacing w:after="0" w:line="240" w:lineRule="auto"/>
    </w:pPr>
    <w:rPr>
      <w:rFonts w:ascii="Calibri" w:eastAsia="Calibri" w:hAnsi="Calibri" w:cs="Times New Roman"/>
      <w:sz w:val="22"/>
    </w:rPr>
  </w:style>
  <w:style w:type="paragraph" w:styleId="Header">
    <w:name w:val="header"/>
    <w:basedOn w:val="Normal"/>
    <w:link w:val="HeaderChar"/>
    <w:uiPriority w:val="99"/>
    <w:unhideWhenUsed/>
    <w:rsid w:val="000A2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6BA"/>
    <w:rPr>
      <w:rFonts w:eastAsia="Calibri" w:cs="Times New Roman"/>
    </w:rPr>
  </w:style>
  <w:style w:type="paragraph" w:styleId="Footer">
    <w:name w:val="footer"/>
    <w:basedOn w:val="Normal"/>
    <w:link w:val="FooterChar"/>
    <w:uiPriority w:val="99"/>
    <w:unhideWhenUsed/>
    <w:rsid w:val="000A2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6BA"/>
    <w:rPr>
      <w:rFonts w:eastAsia="Calibri" w:cs="Times New Roman"/>
    </w:rPr>
  </w:style>
  <w:style w:type="paragraph" w:styleId="BalloonText">
    <w:name w:val="Balloon Text"/>
    <w:basedOn w:val="Normal"/>
    <w:link w:val="BalloonTextChar"/>
    <w:uiPriority w:val="99"/>
    <w:semiHidden/>
    <w:unhideWhenUsed/>
    <w:rsid w:val="002F1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AAF"/>
    <w:rPr>
      <w:rFonts w:ascii="Segoe UI" w:eastAsia="Calibri" w:hAnsi="Segoe UI" w:cs="Segoe UI"/>
      <w:sz w:val="18"/>
      <w:szCs w:val="18"/>
    </w:rPr>
  </w:style>
  <w:style w:type="character" w:styleId="Hyperlink">
    <w:name w:val="Hyperlink"/>
    <w:basedOn w:val="DefaultParagraphFont"/>
    <w:uiPriority w:val="99"/>
    <w:unhideWhenUsed/>
    <w:rsid w:val="006C31CB"/>
    <w:rPr>
      <w:rFonts w:cs="Times New Roman"/>
      <w:color w:val="0000FF" w:themeColor="hyperlink"/>
      <w:u w:val="single"/>
    </w:rPr>
  </w:style>
  <w:style w:type="character" w:styleId="FollowedHyperlink">
    <w:name w:val="FollowedHyperlink"/>
    <w:basedOn w:val="DefaultParagraphFont"/>
    <w:uiPriority w:val="99"/>
    <w:semiHidden/>
    <w:unhideWhenUsed/>
    <w:rsid w:val="00A427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350274">
      <w:bodyDiv w:val="1"/>
      <w:marLeft w:val="0"/>
      <w:marRight w:val="0"/>
      <w:marTop w:val="0"/>
      <w:marBottom w:val="0"/>
      <w:divBdr>
        <w:top w:val="none" w:sz="0" w:space="0" w:color="auto"/>
        <w:left w:val="none" w:sz="0" w:space="0" w:color="auto"/>
        <w:bottom w:val="none" w:sz="0" w:space="0" w:color="auto"/>
        <w:right w:val="none" w:sz="0" w:space="0" w:color="auto"/>
      </w:divBdr>
    </w:div>
    <w:div w:id="153426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_001_Contents.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_001_Contents.doc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3B6DB-5037-4A39-858B-A864F2DBC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16</Pages>
  <Words>3874</Words>
  <Characters>22084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rmohee</dc:creator>
  <cp:lastModifiedBy>Administrator</cp:lastModifiedBy>
  <cp:revision>33</cp:revision>
  <cp:lastPrinted>2018-02-26T13:52:00Z</cp:lastPrinted>
  <dcterms:created xsi:type="dcterms:W3CDTF">2018-02-12T06:21:00Z</dcterms:created>
  <dcterms:modified xsi:type="dcterms:W3CDTF">2018-03-26T05:14:00Z</dcterms:modified>
</cp:coreProperties>
</file>