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2A" w:rsidRPr="00BF0E37" w:rsidRDefault="00E0732A" w:rsidP="00BF5560">
      <w:pPr>
        <w:spacing w:after="0" w:line="240" w:lineRule="auto"/>
        <w:rPr>
          <w:rFonts w:ascii="Times New Roman" w:eastAsia="Times New Roman" w:hAnsi="Times New Roman"/>
          <w:b/>
          <w:sz w:val="24"/>
          <w:szCs w:val="24"/>
          <w:lang w:val="en-GB"/>
        </w:rPr>
      </w:pPr>
    </w:p>
    <w:p w:rsidR="00BF0E37" w:rsidRPr="00BF0E37" w:rsidRDefault="00BF0E37" w:rsidP="00BF0E37">
      <w:pPr>
        <w:spacing w:after="0" w:line="240" w:lineRule="auto"/>
        <w:jc w:val="both"/>
        <w:rPr>
          <w:rFonts w:ascii="Times New Roman" w:hAnsi="Times New Roman"/>
          <w:sz w:val="24"/>
          <w:szCs w:val="24"/>
        </w:rPr>
      </w:pPr>
    </w:p>
    <w:p w:rsidR="00BF0E37" w:rsidRDefault="00BF0E37" w:rsidP="00BF0E37">
      <w:pPr>
        <w:spacing w:line="240" w:lineRule="auto"/>
        <w:rPr>
          <w:rFonts w:ascii="Times New Roman" w:eastAsia="Times New Roman" w:hAnsi="Times New Roman"/>
          <w:b/>
          <w:sz w:val="24"/>
          <w:szCs w:val="24"/>
          <w:lang w:val="en-GB"/>
        </w:rPr>
      </w:pPr>
      <w:proofErr w:type="gramStart"/>
      <w:r>
        <w:rPr>
          <w:rFonts w:ascii="Times New Roman" w:eastAsia="Times New Roman" w:hAnsi="Times New Roman"/>
          <w:b/>
          <w:sz w:val="24"/>
          <w:szCs w:val="24"/>
          <w:lang w:val="en-GB"/>
        </w:rPr>
        <w:t xml:space="preserve">6.1  </w:t>
      </w:r>
      <w:r w:rsidRPr="00F96168">
        <w:rPr>
          <w:rFonts w:ascii="Times New Roman" w:eastAsia="Times New Roman" w:hAnsi="Times New Roman"/>
          <w:b/>
          <w:sz w:val="24"/>
          <w:szCs w:val="24"/>
          <w:lang w:val="en-GB"/>
        </w:rPr>
        <w:t>Tourist</w:t>
      </w:r>
      <w:proofErr w:type="gramEnd"/>
      <w:r w:rsidRPr="00F96168">
        <w:rPr>
          <w:rFonts w:ascii="Times New Roman" w:eastAsia="Times New Roman" w:hAnsi="Times New Roman"/>
          <w:b/>
          <w:sz w:val="24"/>
          <w:szCs w:val="24"/>
          <w:lang w:val="en-GB"/>
        </w:rPr>
        <w:t xml:space="preserve"> Villages Project</w:t>
      </w:r>
    </w:p>
    <w:p w:rsidR="00BF0E37" w:rsidRPr="00F96168" w:rsidRDefault="00BF0E37" w:rsidP="00BF0E37">
      <w:pPr>
        <w:spacing w:after="0" w:line="240" w:lineRule="auto"/>
        <w:rPr>
          <w:rFonts w:ascii="Times New Roman" w:hAnsi="Times New Roman"/>
          <w:b/>
          <w:sz w:val="24"/>
          <w:szCs w:val="24"/>
        </w:rPr>
      </w:pPr>
    </w:p>
    <w:p w:rsidR="00BF0E37" w:rsidRPr="00617D74" w:rsidRDefault="00BF0E37" w:rsidP="00BF0E37">
      <w:pPr>
        <w:spacing w:line="240" w:lineRule="auto"/>
        <w:jc w:val="both"/>
        <w:rPr>
          <w:rFonts w:ascii="Times New Roman" w:hAnsi="Times New Roman"/>
          <w:b/>
          <w:i/>
          <w:sz w:val="24"/>
          <w:szCs w:val="24"/>
        </w:rPr>
      </w:pPr>
      <w:r w:rsidRPr="00617D74">
        <w:rPr>
          <w:rFonts w:ascii="Times New Roman" w:hAnsi="Times New Roman"/>
          <w:b/>
          <w:i/>
          <w:sz w:val="24"/>
          <w:szCs w:val="24"/>
        </w:rPr>
        <w:t>Introduction</w:t>
      </w:r>
    </w:p>
    <w:p w:rsidR="00BF0E37" w:rsidRPr="006D7ADF" w:rsidRDefault="00BF0E37" w:rsidP="00BF0E37">
      <w:pPr>
        <w:spacing w:line="240" w:lineRule="auto"/>
        <w:jc w:val="both"/>
        <w:rPr>
          <w:rFonts w:ascii="Times New Roman" w:eastAsia="Times New Roman" w:hAnsi="Times New Roman"/>
          <w:sz w:val="24"/>
          <w:szCs w:val="24"/>
          <w:lang w:val="en-GB"/>
        </w:rPr>
      </w:pPr>
      <w:r w:rsidRPr="006D7ADF">
        <w:rPr>
          <w:rFonts w:ascii="Times New Roman" w:hAnsi="Times New Roman"/>
          <w:sz w:val="24"/>
          <w:szCs w:val="24"/>
        </w:rPr>
        <w:t xml:space="preserve">Since 2006, Government intended to </w:t>
      </w:r>
      <w:r>
        <w:rPr>
          <w:rFonts w:ascii="Times New Roman" w:eastAsia="Times New Roman" w:hAnsi="Times New Roman"/>
          <w:sz w:val="24"/>
          <w:szCs w:val="24"/>
          <w:lang w:val="en-GB"/>
        </w:rPr>
        <w:t>set up five Tourist V</w:t>
      </w:r>
      <w:r w:rsidRPr="006D7ADF">
        <w:rPr>
          <w:rFonts w:ascii="Times New Roman" w:eastAsia="Times New Roman" w:hAnsi="Times New Roman"/>
          <w:sz w:val="24"/>
          <w:szCs w:val="24"/>
          <w:lang w:val="en-GB"/>
        </w:rPr>
        <w:t>illages around the island to enhance growth in the tourism sector</w:t>
      </w:r>
      <w:r>
        <w:rPr>
          <w:rFonts w:ascii="Times New Roman" w:eastAsia="Times New Roman" w:hAnsi="Times New Roman"/>
          <w:sz w:val="24"/>
          <w:szCs w:val="24"/>
          <w:lang w:val="en-GB"/>
        </w:rPr>
        <w:t>,</w:t>
      </w:r>
      <w:r w:rsidRPr="006D7ADF">
        <w:rPr>
          <w:rFonts w:ascii="Times New Roman" w:eastAsia="Times New Roman" w:hAnsi="Times New Roman"/>
          <w:sz w:val="24"/>
          <w:szCs w:val="24"/>
          <w:lang w:val="en-GB"/>
        </w:rPr>
        <w:t xml:space="preserve"> and at the same time to give opportunities to small operators. The objectives</w:t>
      </w:r>
      <w:r>
        <w:rPr>
          <w:rFonts w:ascii="Times New Roman" w:eastAsia="Times New Roman" w:hAnsi="Times New Roman"/>
          <w:sz w:val="24"/>
          <w:szCs w:val="24"/>
          <w:lang w:val="en-GB"/>
        </w:rPr>
        <w:t xml:space="preserve"> of the Tourist V</w:t>
      </w:r>
      <w:r w:rsidRPr="006D7ADF">
        <w:rPr>
          <w:rFonts w:ascii="Times New Roman" w:eastAsia="Times New Roman" w:hAnsi="Times New Roman"/>
          <w:sz w:val="24"/>
          <w:szCs w:val="24"/>
          <w:lang w:val="en-GB"/>
        </w:rPr>
        <w:t xml:space="preserve">illages </w:t>
      </w:r>
      <w:r>
        <w:rPr>
          <w:rFonts w:ascii="Times New Roman" w:eastAsia="Times New Roman" w:hAnsi="Times New Roman"/>
          <w:sz w:val="24"/>
          <w:szCs w:val="24"/>
          <w:lang w:val="en-GB"/>
        </w:rPr>
        <w:t xml:space="preserve">Project </w:t>
      </w:r>
      <w:r w:rsidRPr="006D7ADF">
        <w:rPr>
          <w:rFonts w:ascii="Times New Roman" w:eastAsia="Times New Roman" w:hAnsi="Times New Roman"/>
          <w:sz w:val="24"/>
          <w:szCs w:val="24"/>
          <w:lang w:val="en-GB"/>
        </w:rPr>
        <w:t>were:</w:t>
      </w:r>
      <w:r>
        <w:rPr>
          <w:rFonts w:ascii="Times New Roman" w:eastAsia="Times New Roman" w:hAnsi="Times New Roman"/>
          <w:sz w:val="24"/>
          <w:szCs w:val="24"/>
          <w:lang w:val="en-GB"/>
        </w:rPr>
        <w:t xml:space="preserve"> </w:t>
      </w:r>
    </w:p>
    <w:p w:rsidR="00BF0E37" w:rsidRDefault="00BF0E37" w:rsidP="00BF0E37">
      <w:pPr>
        <w:pStyle w:val="ListParagraph"/>
        <w:numPr>
          <w:ilvl w:val="0"/>
          <w:numId w:val="26"/>
        </w:numPr>
        <w:spacing w:line="240" w:lineRule="auto"/>
        <w:ind w:left="360"/>
        <w:jc w:val="both"/>
        <w:rPr>
          <w:rFonts w:ascii="Times New Roman" w:eastAsia="Times New Roman" w:hAnsi="Times New Roman"/>
          <w:sz w:val="24"/>
          <w:szCs w:val="24"/>
          <w:lang w:val="en-GB"/>
        </w:rPr>
      </w:pPr>
      <w:r w:rsidRPr="006D7ADF">
        <w:rPr>
          <w:rFonts w:ascii="Times New Roman" w:eastAsia="Times New Roman" w:hAnsi="Times New Roman"/>
          <w:sz w:val="24"/>
          <w:szCs w:val="24"/>
          <w:lang w:val="en-GB"/>
        </w:rPr>
        <w:t xml:space="preserve">to offer shopping outlets, restaurants and leisure facilities that would cater </w:t>
      </w:r>
      <w:r>
        <w:rPr>
          <w:rFonts w:ascii="Times New Roman" w:eastAsia="Times New Roman" w:hAnsi="Times New Roman"/>
          <w:sz w:val="24"/>
          <w:szCs w:val="24"/>
          <w:lang w:val="en-GB"/>
        </w:rPr>
        <w:t>for</w:t>
      </w:r>
      <w:r w:rsidRPr="006D7ADF">
        <w:rPr>
          <w:rFonts w:ascii="Times New Roman" w:eastAsia="Times New Roman" w:hAnsi="Times New Roman"/>
          <w:sz w:val="24"/>
          <w:szCs w:val="24"/>
          <w:lang w:val="en-GB"/>
        </w:rPr>
        <w:t xml:space="preserve"> tourists;</w:t>
      </w:r>
    </w:p>
    <w:p w:rsidR="00BF0E37" w:rsidRPr="006D7ADF" w:rsidRDefault="00BF0E37" w:rsidP="00BF0E37">
      <w:pPr>
        <w:pStyle w:val="ListParagraph"/>
        <w:spacing w:line="240" w:lineRule="auto"/>
        <w:ind w:left="360"/>
        <w:jc w:val="both"/>
        <w:rPr>
          <w:rFonts w:ascii="Times New Roman" w:eastAsia="Times New Roman" w:hAnsi="Times New Roman"/>
          <w:sz w:val="24"/>
          <w:szCs w:val="24"/>
          <w:lang w:val="en-GB"/>
        </w:rPr>
      </w:pPr>
    </w:p>
    <w:p w:rsidR="00BF0E37" w:rsidRDefault="00BF0E37" w:rsidP="00BF0E37">
      <w:pPr>
        <w:pStyle w:val="ListParagraph"/>
        <w:numPr>
          <w:ilvl w:val="0"/>
          <w:numId w:val="26"/>
        </w:numPr>
        <w:spacing w:line="240" w:lineRule="auto"/>
        <w:ind w:left="360"/>
        <w:jc w:val="both"/>
        <w:rPr>
          <w:rFonts w:ascii="Times New Roman" w:eastAsia="Times New Roman" w:hAnsi="Times New Roman"/>
          <w:sz w:val="24"/>
          <w:szCs w:val="24"/>
          <w:lang w:val="en-GB"/>
        </w:rPr>
      </w:pPr>
      <w:r w:rsidRPr="006D7ADF">
        <w:rPr>
          <w:rFonts w:ascii="Times New Roman" w:eastAsia="Times New Roman" w:hAnsi="Times New Roman"/>
          <w:sz w:val="24"/>
          <w:szCs w:val="24"/>
          <w:lang w:val="en-GB"/>
        </w:rPr>
        <w:t xml:space="preserve">to provide spaces that would be reserved mostly to SMEs and the promotion of Mauritian arts and crafts; </w:t>
      </w:r>
    </w:p>
    <w:p w:rsidR="00BF0E37" w:rsidRPr="003D45B8" w:rsidRDefault="00BF0E37" w:rsidP="00BF0E37">
      <w:pPr>
        <w:pStyle w:val="ListParagraph"/>
        <w:spacing w:line="240" w:lineRule="auto"/>
        <w:ind w:left="360"/>
        <w:rPr>
          <w:rFonts w:ascii="Times New Roman" w:eastAsia="Times New Roman" w:hAnsi="Times New Roman"/>
          <w:sz w:val="24"/>
          <w:szCs w:val="24"/>
          <w:lang w:val="en-GB"/>
        </w:rPr>
      </w:pPr>
    </w:p>
    <w:p w:rsidR="00BF0E37" w:rsidRDefault="00BF0E37" w:rsidP="00BF0E37">
      <w:pPr>
        <w:pStyle w:val="ListParagraph"/>
        <w:numPr>
          <w:ilvl w:val="0"/>
          <w:numId w:val="26"/>
        </w:numPr>
        <w:spacing w:line="240" w:lineRule="auto"/>
        <w:ind w:left="360"/>
        <w:jc w:val="both"/>
        <w:rPr>
          <w:rFonts w:ascii="Times New Roman" w:eastAsia="Times New Roman" w:hAnsi="Times New Roman"/>
          <w:sz w:val="24"/>
          <w:szCs w:val="24"/>
          <w:lang w:val="en-GB"/>
        </w:rPr>
      </w:pPr>
      <w:proofErr w:type="gramStart"/>
      <w:r w:rsidRPr="006D7ADF">
        <w:rPr>
          <w:rFonts w:ascii="Times New Roman" w:eastAsia="Times New Roman" w:hAnsi="Times New Roman"/>
          <w:sz w:val="24"/>
          <w:szCs w:val="24"/>
          <w:lang w:val="en-GB"/>
        </w:rPr>
        <w:t>to</w:t>
      </w:r>
      <w:proofErr w:type="gramEnd"/>
      <w:r w:rsidRPr="006D7ADF">
        <w:rPr>
          <w:rFonts w:ascii="Times New Roman" w:eastAsia="Times New Roman" w:hAnsi="Times New Roman"/>
          <w:sz w:val="24"/>
          <w:szCs w:val="24"/>
          <w:lang w:val="en-GB"/>
        </w:rPr>
        <w:t xml:space="preserve"> be a powerful instrument to democratise the tourism industry. </w:t>
      </w:r>
    </w:p>
    <w:p w:rsidR="00BF0E37" w:rsidRDefault="00BF0E37" w:rsidP="00BF0E37">
      <w:pPr>
        <w:spacing w:line="240" w:lineRule="auto"/>
        <w:jc w:val="both"/>
        <w:rPr>
          <w:rFonts w:ascii="Times New Roman" w:hAnsi="Times New Roman"/>
          <w:sz w:val="24"/>
          <w:szCs w:val="24"/>
        </w:rPr>
      </w:pPr>
      <w:r w:rsidRPr="00D17929">
        <w:rPr>
          <w:rFonts w:ascii="Times New Roman" w:hAnsi="Times New Roman"/>
          <w:sz w:val="24"/>
          <w:szCs w:val="24"/>
        </w:rPr>
        <w:t xml:space="preserve">To </w:t>
      </w:r>
      <w:r>
        <w:rPr>
          <w:rFonts w:ascii="Times New Roman" w:hAnsi="Times New Roman"/>
          <w:sz w:val="24"/>
          <w:szCs w:val="24"/>
        </w:rPr>
        <w:t xml:space="preserve">fulfill </w:t>
      </w:r>
      <w:r w:rsidRPr="00D17929">
        <w:rPr>
          <w:rFonts w:ascii="Times New Roman" w:hAnsi="Times New Roman"/>
          <w:sz w:val="24"/>
          <w:szCs w:val="24"/>
        </w:rPr>
        <w:t xml:space="preserve">the objectives of the Empowerment </w:t>
      </w:r>
      <w:proofErr w:type="spellStart"/>
      <w:r w:rsidRPr="00D17929">
        <w:rPr>
          <w:rFonts w:ascii="Times New Roman" w:hAnsi="Times New Roman"/>
          <w:sz w:val="24"/>
          <w:szCs w:val="24"/>
        </w:rPr>
        <w:t>Programme</w:t>
      </w:r>
      <w:proofErr w:type="spellEnd"/>
      <w:r w:rsidRPr="00D17929">
        <w:rPr>
          <w:rFonts w:ascii="Times New Roman" w:hAnsi="Times New Roman"/>
          <w:sz w:val="24"/>
          <w:szCs w:val="24"/>
        </w:rPr>
        <w:t xml:space="preserve"> that also included the setting up of five Tourist Villages around the island, Government set up a Steering Committee to implement the </w:t>
      </w:r>
      <w:proofErr w:type="spellStart"/>
      <w:r w:rsidRPr="00D17929">
        <w:rPr>
          <w:rFonts w:ascii="Times New Roman" w:hAnsi="Times New Roman"/>
          <w:sz w:val="24"/>
          <w:szCs w:val="24"/>
        </w:rPr>
        <w:t>Programme</w:t>
      </w:r>
      <w:proofErr w:type="spellEnd"/>
      <w:r w:rsidRPr="00D17929">
        <w:rPr>
          <w:rFonts w:ascii="Times New Roman" w:hAnsi="Times New Roman"/>
          <w:sz w:val="24"/>
          <w:szCs w:val="24"/>
        </w:rPr>
        <w:t xml:space="preserve">. </w:t>
      </w:r>
    </w:p>
    <w:p w:rsidR="00BF0E37" w:rsidRDefault="00BF0E37" w:rsidP="00BF0E37">
      <w:pPr>
        <w:spacing w:after="0" w:line="240" w:lineRule="auto"/>
        <w:jc w:val="both"/>
        <w:rPr>
          <w:rFonts w:ascii="Times New Roman" w:hAnsi="Times New Roman"/>
          <w:sz w:val="24"/>
          <w:szCs w:val="24"/>
        </w:rPr>
      </w:pPr>
    </w:p>
    <w:p w:rsidR="00BF0E37" w:rsidRPr="00D17929" w:rsidRDefault="00BF0E37" w:rsidP="00BF0E37">
      <w:pPr>
        <w:spacing w:after="0" w:line="240" w:lineRule="auto"/>
        <w:jc w:val="both"/>
        <w:rPr>
          <w:rFonts w:ascii="Times New Roman" w:hAnsi="Times New Roman"/>
          <w:sz w:val="24"/>
          <w:szCs w:val="24"/>
        </w:rPr>
      </w:pPr>
    </w:p>
    <w:p w:rsidR="00BF0E37" w:rsidRPr="00617D74" w:rsidRDefault="00BF0E37" w:rsidP="00BF0E37">
      <w:pPr>
        <w:spacing w:line="240" w:lineRule="auto"/>
        <w:ind w:left="720" w:hanging="720"/>
        <w:jc w:val="both"/>
        <w:rPr>
          <w:rFonts w:ascii="Times New Roman" w:hAnsi="Times New Roman"/>
          <w:b/>
          <w:i/>
          <w:sz w:val="24"/>
          <w:szCs w:val="24"/>
        </w:rPr>
      </w:pPr>
      <w:proofErr w:type="gramStart"/>
      <w:r>
        <w:rPr>
          <w:rFonts w:ascii="Times New Roman" w:hAnsi="Times New Roman"/>
          <w:b/>
          <w:i/>
          <w:sz w:val="24"/>
          <w:szCs w:val="24"/>
        </w:rPr>
        <w:t xml:space="preserve">6.1.1  </w:t>
      </w:r>
      <w:r w:rsidRPr="00617D74">
        <w:rPr>
          <w:rFonts w:ascii="Times New Roman" w:hAnsi="Times New Roman"/>
          <w:b/>
          <w:i/>
          <w:sz w:val="24"/>
          <w:szCs w:val="24"/>
        </w:rPr>
        <w:t>Implementation</w:t>
      </w:r>
      <w:proofErr w:type="gramEnd"/>
      <w:r w:rsidRPr="00617D74">
        <w:rPr>
          <w:rFonts w:ascii="Times New Roman" w:hAnsi="Times New Roman"/>
          <w:b/>
          <w:i/>
          <w:sz w:val="24"/>
          <w:szCs w:val="24"/>
        </w:rPr>
        <w:t xml:space="preserve"> Team set up by Ministry of Finance and</w:t>
      </w:r>
      <w:r>
        <w:rPr>
          <w:rFonts w:ascii="Times New Roman" w:hAnsi="Times New Roman"/>
          <w:b/>
          <w:i/>
          <w:sz w:val="24"/>
          <w:szCs w:val="24"/>
        </w:rPr>
        <w:t xml:space="preserve"> </w:t>
      </w:r>
      <w:r w:rsidRPr="00617D74">
        <w:rPr>
          <w:rFonts w:ascii="Times New Roman" w:hAnsi="Times New Roman"/>
          <w:b/>
          <w:i/>
          <w:sz w:val="24"/>
          <w:szCs w:val="24"/>
        </w:rPr>
        <w:t xml:space="preserve">Economic Development </w:t>
      </w:r>
    </w:p>
    <w:p w:rsidR="00BF0E37" w:rsidRDefault="00BF0E37" w:rsidP="00BF0E37">
      <w:pPr>
        <w:spacing w:line="240" w:lineRule="auto"/>
        <w:jc w:val="both"/>
        <w:rPr>
          <w:rFonts w:ascii="Times New Roman" w:hAnsi="Times New Roman"/>
          <w:sz w:val="24"/>
          <w:szCs w:val="24"/>
        </w:rPr>
      </w:pPr>
      <w:r>
        <w:rPr>
          <w:rFonts w:ascii="Times New Roman" w:hAnsi="Times New Roman"/>
          <w:sz w:val="24"/>
          <w:szCs w:val="24"/>
        </w:rPr>
        <w:t xml:space="preserve">In </w:t>
      </w:r>
      <w:r w:rsidRPr="006D7ADF">
        <w:rPr>
          <w:rFonts w:ascii="Times New Roman" w:hAnsi="Times New Roman"/>
          <w:sz w:val="24"/>
          <w:szCs w:val="24"/>
        </w:rPr>
        <w:t>October 2006</w:t>
      </w:r>
      <w:r>
        <w:rPr>
          <w:rFonts w:ascii="Times New Roman" w:hAnsi="Times New Roman"/>
          <w:sz w:val="24"/>
          <w:szCs w:val="24"/>
        </w:rPr>
        <w:t xml:space="preserve">, the </w:t>
      </w:r>
      <w:r w:rsidRPr="00817ACB">
        <w:rPr>
          <w:rFonts w:ascii="Times New Roman" w:hAnsi="Times New Roman"/>
          <w:sz w:val="24"/>
          <w:szCs w:val="24"/>
        </w:rPr>
        <w:t>Ministry of Finance and Economic Development</w:t>
      </w:r>
      <w:r>
        <w:rPr>
          <w:rFonts w:ascii="Times New Roman" w:hAnsi="Times New Roman"/>
          <w:b/>
          <w:i/>
          <w:sz w:val="24"/>
          <w:szCs w:val="24"/>
        </w:rPr>
        <w:t xml:space="preserve"> </w:t>
      </w:r>
      <w:r w:rsidRPr="0043235D">
        <w:rPr>
          <w:rFonts w:ascii="Times New Roman" w:hAnsi="Times New Roman"/>
          <w:sz w:val="24"/>
          <w:szCs w:val="24"/>
        </w:rPr>
        <w:t>(MOFED)</w:t>
      </w:r>
      <w:r w:rsidRPr="006D7ADF">
        <w:rPr>
          <w:rFonts w:ascii="Times New Roman" w:hAnsi="Times New Roman"/>
          <w:sz w:val="24"/>
          <w:szCs w:val="24"/>
        </w:rPr>
        <w:t xml:space="preserve"> set up an Implementation Team </w:t>
      </w:r>
      <w:r>
        <w:rPr>
          <w:rFonts w:ascii="Times New Roman" w:hAnsi="Times New Roman"/>
          <w:sz w:val="24"/>
          <w:szCs w:val="24"/>
        </w:rPr>
        <w:t xml:space="preserve">comprising </w:t>
      </w:r>
      <w:r w:rsidRPr="006D7ADF">
        <w:rPr>
          <w:rFonts w:ascii="Times New Roman" w:hAnsi="Times New Roman"/>
          <w:sz w:val="24"/>
          <w:szCs w:val="24"/>
        </w:rPr>
        <w:t>seven representatives from the priva</w:t>
      </w:r>
      <w:r>
        <w:rPr>
          <w:rFonts w:ascii="Times New Roman" w:hAnsi="Times New Roman"/>
          <w:sz w:val="24"/>
          <w:szCs w:val="24"/>
        </w:rPr>
        <w:t xml:space="preserve">te sector, three Officers of </w:t>
      </w:r>
      <w:r w:rsidRPr="006D7ADF">
        <w:rPr>
          <w:rFonts w:ascii="Times New Roman" w:hAnsi="Times New Roman"/>
          <w:sz w:val="24"/>
          <w:szCs w:val="24"/>
        </w:rPr>
        <w:t>MOFED and a representative of the Ministry of Tourism</w:t>
      </w:r>
      <w:r w:rsidRPr="00F34B8D">
        <w:rPr>
          <w:rFonts w:ascii="Times New Roman" w:hAnsi="Times New Roman"/>
          <w:sz w:val="24"/>
          <w:szCs w:val="24"/>
        </w:rPr>
        <w:t xml:space="preserve"> </w:t>
      </w:r>
      <w:r w:rsidRPr="006D7ADF">
        <w:rPr>
          <w:rFonts w:ascii="Times New Roman" w:hAnsi="Times New Roman"/>
          <w:sz w:val="24"/>
          <w:szCs w:val="24"/>
        </w:rPr>
        <w:t>to</w:t>
      </w:r>
      <w:r>
        <w:rPr>
          <w:rFonts w:ascii="Times New Roman" w:hAnsi="Times New Roman"/>
          <w:sz w:val="24"/>
          <w:szCs w:val="24"/>
        </w:rPr>
        <w:t xml:space="preserve"> </w:t>
      </w:r>
      <w:r w:rsidRPr="006D7ADF">
        <w:rPr>
          <w:rFonts w:ascii="Times New Roman" w:hAnsi="Times New Roman"/>
          <w:sz w:val="24"/>
          <w:szCs w:val="24"/>
        </w:rPr>
        <w:t xml:space="preserve">oversee the implementation of the above </w:t>
      </w:r>
      <w:r>
        <w:rPr>
          <w:rFonts w:ascii="Times New Roman" w:hAnsi="Times New Roman"/>
          <w:sz w:val="24"/>
          <w:szCs w:val="24"/>
        </w:rPr>
        <w:t>mentioned Tourist Villages Project</w:t>
      </w:r>
      <w:r w:rsidRPr="006D7ADF">
        <w:rPr>
          <w:rFonts w:ascii="Times New Roman" w:hAnsi="Times New Roman"/>
          <w:sz w:val="24"/>
          <w:szCs w:val="24"/>
        </w:rPr>
        <w:t xml:space="preserve">. </w:t>
      </w:r>
    </w:p>
    <w:p w:rsidR="00BF0E37" w:rsidRPr="006D7ADF" w:rsidRDefault="00BF0E37" w:rsidP="00BF0E37">
      <w:pPr>
        <w:spacing w:after="0" w:line="240" w:lineRule="auto"/>
        <w:jc w:val="both"/>
        <w:rPr>
          <w:rFonts w:ascii="Times New Roman" w:hAnsi="Times New Roman"/>
          <w:sz w:val="24"/>
          <w:szCs w:val="24"/>
        </w:rPr>
      </w:pPr>
      <w:r>
        <w:rPr>
          <w:rFonts w:ascii="Times New Roman" w:hAnsi="Times New Roman"/>
          <w:sz w:val="24"/>
          <w:szCs w:val="24"/>
        </w:rPr>
        <w:t>A</w:t>
      </w:r>
      <w:r w:rsidRPr="006D7ADF">
        <w:rPr>
          <w:rFonts w:ascii="Times New Roman" w:hAnsi="Times New Roman"/>
          <w:sz w:val="24"/>
          <w:szCs w:val="24"/>
        </w:rPr>
        <w:t xml:space="preserve"> </w:t>
      </w:r>
      <w:r>
        <w:rPr>
          <w:rFonts w:ascii="Times New Roman" w:hAnsi="Times New Roman"/>
          <w:sz w:val="24"/>
          <w:szCs w:val="24"/>
        </w:rPr>
        <w:t>s</w:t>
      </w:r>
      <w:r w:rsidRPr="006D7ADF">
        <w:rPr>
          <w:rFonts w:ascii="Times New Roman" w:hAnsi="Times New Roman"/>
          <w:sz w:val="24"/>
          <w:szCs w:val="24"/>
        </w:rPr>
        <w:t xml:space="preserve">tate </w:t>
      </w:r>
      <w:r>
        <w:rPr>
          <w:rFonts w:ascii="Times New Roman" w:hAnsi="Times New Roman"/>
          <w:sz w:val="24"/>
          <w:szCs w:val="24"/>
        </w:rPr>
        <w:t>owned</w:t>
      </w:r>
      <w:r w:rsidRPr="006D7ADF">
        <w:rPr>
          <w:rFonts w:ascii="Times New Roman" w:hAnsi="Times New Roman"/>
          <w:sz w:val="24"/>
          <w:szCs w:val="24"/>
        </w:rPr>
        <w:t xml:space="preserve"> </w:t>
      </w:r>
      <w:r>
        <w:rPr>
          <w:rFonts w:ascii="Times New Roman" w:hAnsi="Times New Roman"/>
          <w:sz w:val="24"/>
          <w:szCs w:val="24"/>
        </w:rPr>
        <w:t>c</w:t>
      </w:r>
      <w:r w:rsidRPr="006D7ADF">
        <w:rPr>
          <w:rFonts w:ascii="Times New Roman" w:hAnsi="Times New Roman"/>
          <w:sz w:val="24"/>
          <w:szCs w:val="24"/>
        </w:rPr>
        <w:t xml:space="preserve">ompany </w:t>
      </w:r>
      <w:r>
        <w:rPr>
          <w:rFonts w:ascii="Times New Roman" w:hAnsi="Times New Roman"/>
          <w:sz w:val="24"/>
          <w:szCs w:val="24"/>
        </w:rPr>
        <w:t>was</w:t>
      </w:r>
      <w:r w:rsidRPr="006D7ADF">
        <w:rPr>
          <w:rFonts w:ascii="Times New Roman" w:hAnsi="Times New Roman"/>
          <w:sz w:val="24"/>
          <w:szCs w:val="24"/>
        </w:rPr>
        <w:t xml:space="preserve"> </w:t>
      </w:r>
      <w:r>
        <w:rPr>
          <w:rFonts w:ascii="Times New Roman" w:hAnsi="Times New Roman"/>
          <w:sz w:val="24"/>
          <w:szCs w:val="24"/>
        </w:rPr>
        <w:t>designated</w:t>
      </w:r>
      <w:r w:rsidRPr="006D7ADF">
        <w:rPr>
          <w:rFonts w:ascii="Times New Roman" w:hAnsi="Times New Roman"/>
          <w:sz w:val="24"/>
          <w:szCs w:val="24"/>
        </w:rPr>
        <w:t xml:space="preserve"> as the Implementing Agency for the project</w:t>
      </w:r>
      <w:r w:rsidRPr="00D17929">
        <w:rPr>
          <w:rFonts w:ascii="Times New Roman" w:hAnsi="Times New Roman"/>
          <w:sz w:val="24"/>
          <w:szCs w:val="24"/>
        </w:rPr>
        <w:t xml:space="preserve"> </w:t>
      </w:r>
      <w:r w:rsidRPr="006D7ADF">
        <w:rPr>
          <w:rFonts w:ascii="Times New Roman" w:hAnsi="Times New Roman"/>
          <w:sz w:val="24"/>
          <w:szCs w:val="24"/>
        </w:rPr>
        <w:t xml:space="preserve">in October 2006. </w:t>
      </w:r>
    </w:p>
    <w:p w:rsidR="00BF0E37" w:rsidRDefault="00BF0E37" w:rsidP="00BF0E37">
      <w:pPr>
        <w:spacing w:after="0" w:line="240" w:lineRule="auto"/>
        <w:jc w:val="both"/>
        <w:rPr>
          <w:rFonts w:ascii="Times New Roman" w:hAnsi="Times New Roman"/>
          <w:sz w:val="24"/>
          <w:szCs w:val="24"/>
        </w:rPr>
      </w:pPr>
    </w:p>
    <w:p w:rsidR="00BF0E37" w:rsidRPr="00296647" w:rsidRDefault="00BF0E37" w:rsidP="00BF0E37">
      <w:pPr>
        <w:spacing w:line="240" w:lineRule="auto"/>
        <w:jc w:val="both"/>
        <w:rPr>
          <w:rFonts w:ascii="Times New Roman" w:hAnsi="Times New Roman"/>
          <w:i/>
          <w:sz w:val="24"/>
          <w:szCs w:val="24"/>
        </w:rPr>
      </w:pPr>
      <w:r w:rsidRPr="00296647">
        <w:rPr>
          <w:rFonts w:ascii="Times New Roman" w:hAnsi="Times New Roman"/>
          <w:i/>
          <w:sz w:val="24"/>
          <w:szCs w:val="24"/>
        </w:rPr>
        <w:t xml:space="preserve">Project Financing </w:t>
      </w:r>
    </w:p>
    <w:p w:rsidR="00BF0E37" w:rsidRDefault="00BF0E37" w:rsidP="00BF0E37">
      <w:pPr>
        <w:spacing w:line="240" w:lineRule="auto"/>
        <w:jc w:val="both"/>
        <w:rPr>
          <w:rFonts w:ascii="Times New Roman" w:hAnsi="Times New Roman"/>
          <w:sz w:val="24"/>
          <w:szCs w:val="24"/>
        </w:rPr>
      </w:pPr>
      <w:r>
        <w:rPr>
          <w:rFonts w:ascii="Times New Roman" w:hAnsi="Times New Roman"/>
          <w:sz w:val="24"/>
          <w:szCs w:val="24"/>
        </w:rPr>
        <w:t>Following Government approval, the</w:t>
      </w:r>
      <w:r w:rsidRPr="006D7ADF">
        <w:rPr>
          <w:rFonts w:ascii="Times New Roman" w:hAnsi="Times New Roman"/>
          <w:sz w:val="24"/>
          <w:szCs w:val="24"/>
        </w:rPr>
        <w:t xml:space="preserve"> Tourist Villages Compa</w:t>
      </w:r>
      <w:r>
        <w:rPr>
          <w:rFonts w:ascii="Times New Roman" w:hAnsi="Times New Roman"/>
          <w:sz w:val="24"/>
          <w:szCs w:val="24"/>
        </w:rPr>
        <w:t>ny Ltd (TVCL) was incorporated i</w:t>
      </w:r>
      <w:r w:rsidRPr="006D7ADF">
        <w:rPr>
          <w:rFonts w:ascii="Times New Roman" w:hAnsi="Times New Roman"/>
          <w:sz w:val="24"/>
          <w:szCs w:val="24"/>
        </w:rPr>
        <w:t xml:space="preserve">n June 2007. </w:t>
      </w:r>
      <w:r>
        <w:rPr>
          <w:rFonts w:ascii="Times New Roman" w:hAnsi="Times New Roman"/>
          <w:sz w:val="24"/>
          <w:szCs w:val="24"/>
        </w:rPr>
        <w:t>A private firm was appointed as</w:t>
      </w:r>
      <w:r w:rsidRPr="006D7ADF">
        <w:rPr>
          <w:rFonts w:ascii="Times New Roman" w:hAnsi="Times New Roman"/>
          <w:sz w:val="24"/>
          <w:szCs w:val="24"/>
        </w:rPr>
        <w:t xml:space="preserve"> Company’s Secretary</w:t>
      </w:r>
      <w:r>
        <w:rPr>
          <w:rFonts w:ascii="Times New Roman" w:hAnsi="Times New Roman"/>
          <w:sz w:val="24"/>
          <w:szCs w:val="24"/>
        </w:rPr>
        <w:t>.</w:t>
      </w:r>
      <w:r w:rsidRPr="00F65F41">
        <w:rPr>
          <w:rFonts w:ascii="Times New Roman" w:hAnsi="Times New Roman"/>
          <w:sz w:val="24"/>
          <w:szCs w:val="24"/>
        </w:rPr>
        <w:t xml:space="preserve"> </w:t>
      </w:r>
    </w:p>
    <w:p w:rsidR="00BF0E37" w:rsidRDefault="00BF0E37" w:rsidP="00BF0E37">
      <w:pPr>
        <w:spacing w:line="240" w:lineRule="auto"/>
        <w:jc w:val="both"/>
        <w:rPr>
          <w:rFonts w:ascii="Times New Roman" w:hAnsi="Times New Roman"/>
          <w:sz w:val="24"/>
          <w:szCs w:val="24"/>
        </w:rPr>
      </w:pPr>
      <w:r w:rsidRPr="006D7ADF">
        <w:rPr>
          <w:rFonts w:ascii="Times New Roman" w:hAnsi="Times New Roman"/>
          <w:sz w:val="24"/>
          <w:szCs w:val="24"/>
        </w:rPr>
        <w:t>Government injected</w:t>
      </w:r>
      <w:r>
        <w:rPr>
          <w:rFonts w:ascii="Times New Roman" w:hAnsi="Times New Roman"/>
          <w:sz w:val="24"/>
          <w:szCs w:val="24"/>
        </w:rPr>
        <w:t xml:space="preserve"> funds totaling Rs 315</w:t>
      </w:r>
      <w:r w:rsidRPr="006D7ADF">
        <w:rPr>
          <w:rFonts w:ascii="Times New Roman" w:hAnsi="Times New Roman"/>
          <w:sz w:val="24"/>
          <w:szCs w:val="24"/>
        </w:rPr>
        <w:t xml:space="preserve"> million </w:t>
      </w:r>
      <w:r>
        <w:rPr>
          <w:rFonts w:ascii="Times New Roman" w:hAnsi="Times New Roman"/>
          <w:sz w:val="24"/>
          <w:szCs w:val="24"/>
        </w:rPr>
        <w:t xml:space="preserve">in the </w:t>
      </w:r>
      <w:r w:rsidRPr="006D7ADF">
        <w:rPr>
          <w:rFonts w:ascii="Times New Roman" w:hAnsi="Times New Roman"/>
          <w:sz w:val="24"/>
          <w:szCs w:val="24"/>
        </w:rPr>
        <w:t xml:space="preserve">share capital </w:t>
      </w:r>
      <w:r>
        <w:rPr>
          <w:rFonts w:ascii="Times New Roman" w:hAnsi="Times New Roman"/>
          <w:sz w:val="24"/>
          <w:szCs w:val="24"/>
        </w:rPr>
        <w:t xml:space="preserve">of the TVCL </w:t>
      </w:r>
      <w:r w:rsidRPr="006D7ADF">
        <w:rPr>
          <w:rFonts w:ascii="Times New Roman" w:hAnsi="Times New Roman"/>
          <w:sz w:val="24"/>
          <w:szCs w:val="24"/>
        </w:rPr>
        <w:t>between June 2007 and June 2009</w:t>
      </w:r>
      <w:r>
        <w:rPr>
          <w:rFonts w:ascii="Times New Roman" w:hAnsi="Times New Roman"/>
          <w:sz w:val="24"/>
          <w:szCs w:val="24"/>
        </w:rPr>
        <w:t>.</w:t>
      </w:r>
      <w:r w:rsidRPr="006D7ADF">
        <w:rPr>
          <w:rFonts w:ascii="Times New Roman" w:hAnsi="Times New Roman"/>
          <w:sz w:val="24"/>
          <w:szCs w:val="24"/>
        </w:rPr>
        <w:t xml:space="preserve"> </w:t>
      </w:r>
    </w:p>
    <w:p w:rsidR="00BF0E37" w:rsidRDefault="00BF0E37" w:rsidP="00BF0E37">
      <w:pPr>
        <w:spacing w:after="0" w:line="240" w:lineRule="auto"/>
        <w:jc w:val="both"/>
        <w:rPr>
          <w:rFonts w:ascii="Times New Roman" w:hAnsi="Times New Roman"/>
          <w:sz w:val="24"/>
          <w:szCs w:val="24"/>
        </w:rPr>
      </w:pPr>
      <w:r>
        <w:rPr>
          <w:rFonts w:ascii="Times New Roman" w:hAnsi="Times New Roman"/>
          <w:sz w:val="24"/>
          <w:szCs w:val="24"/>
        </w:rPr>
        <w:t>Funds raised for the share capital were partly applied for the construction of B</w:t>
      </w:r>
      <w:r w:rsidRPr="00625504">
        <w:rPr>
          <w:rFonts w:ascii="Times New Roman" w:hAnsi="Times New Roman"/>
          <w:sz w:val="24"/>
          <w:szCs w:val="24"/>
        </w:rPr>
        <w:t xml:space="preserve">elle Mare </w:t>
      </w:r>
      <w:r>
        <w:rPr>
          <w:rFonts w:ascii="Times New Roman" w:hAnsi="Times New Roman"/>
          <w:sz w:val="24"/>
          <w:szCs w:val="24"/>
        </w:rPr>
        <w:t xml:space="preserve">and </w:t>
      </w:r>
      <w:proofErr w:type="spellStart"/>
      <w:r>
        <w:rPr>
          <w:rFonts w:ascii="Times New Roman" w:hAnsi="Times New Roman"/>
          <w:sz w:val="24"/>
          <w:szCs w:val="24"/>
        </w:rPr>
        <w:t>Mahebourg</w:t>
      </w:r>
      <w:proofErr w:type="spellEnd"/>
      <w:r>
        <w:rPr>
          <w:rFonts w:ascii="Times New Roman" w:hAnsi="Times New Roman"/>
          <w:sz w:val="24"/>
          <w:szCs w:val="24"/>
        </w:rPr>
        <w:t xml:space="preserve"> </w:t>
      </w:r>
      <w:r w:rsidRPr="00625504">
        <w:rPr>
          <w:rFonts w:ascii="Times New Roman" w:hAnsi="Times New Roman"/>
          <w:sz w:val="24"/>
          <w:szCs w:val="24"/>
        </w:rPr>
        <w:t>Tourist Village Project</w:t>
      </w:r>
      <w:r>
        <w:rPr>
          <w:rFonts w:ascii="Times New Roman" w:hAnsi="Times New Roman"/>
          <w:sz w:val="24"/>
          <w:szCs w:val="24"/>
        </w:rPr>
        <w:t>s. Following completion of the projects</w:t>
      </w:r>
      <w:r w:rsidRPr="003343BC">
        <w:rPr>
          <w:rFonts w:ascii="Times New Roman" w:hAnsi="Times New Roman"/>
          <w:sz w:val="24"/>
          <w:szCs w:val="24"/>
        </w:rPr>
        <w:t xml:space="preserve"> </w:t>
      </w:r>
      <w:r w:rsidRPr="006D7ADF">
        <w:rPr>
          <w:rFonts w:ascii="Times New Roman" w:hAnsi="Times New Roman"/>
          <w:sz w:val="24"/>
          <w:szCs w:val="24"/>
        </w:rPr>
        <w:t>in September 2013</w:t>
      </w:r>
      <w:r>
        <w:rPr>
          <w:rFonts w:ascii="Times New Roman" w:hAnsi="Times New Roman"/>
          <w:sz w:val="24"/>
          <w:szCs w:val="24"/>
        </w:rPr>
        <w:t xml:space="preserve">, the Company refunded </w:t>
      </w:r>
      <w:r w:rsidRPr="006D7ADF">
        <w:rPr>
          <w:rFonts w:ascii="Times New Roman" w:hAnsi="Times New Roman"/>
          <w:sz w:val="24"/>
          <w:szCs w:val="24"/>
        </w:rPr>
        <w:t>Government a sum of Rs 145 million.</w:t>
      </w:r>
      <w:r>
        <w:rPr>
          <w:rFonts w:ascii="Times New Roman" w:hAnsi="Times New Roman"/>
          <w:sz w:val="24"/>
          <w:szCs w:val="24"/>
        </w:rPr>
        <w:t xml:space="preserve"> </w:t>
      </w:r>
    </w:p>
    <w:p w:rsidR="00BF0E37" w:rsidRDefault="00BF0E37" w:rsidP="00BF0E37">
      <w:pPr>
        <w:spacing w:after="0" w:line="240" w:lineRule="auto"/>
        <w:jc w:val="both"/>
        <w:rPr>
          <w:rFonts w:ascii="Times New Roman" w:hAnsi="Times New Roman"/>
          <w:b/>
          <w:sz w:val="24"/>
          <w:szCs w:val="24"/>
        </w:rPr>
      </w:pPr>
    </w:p>
    <w:p w:rsidR="00BF0E37" w:rsidRPr="006D7ADF" w:rsidRDefault="00BF0E37" w:rsidP="00BF0E37">
      <w:pPr>
        <w:spacing w:after="0" w:line="240" w:lineRule="auto"/>
        <w:jc w:val="both"/>
        <w:rPr>
          <w:rFonts w:ascii="Times New Roman" w:hAnsi="Times New Roman"/>
          <w:b/>
          <w:sz w:val="24"/>
          <w:szCs w:val="24"/>
        </w:rPr>
      </w:pPr>
    </w:p>
    <w:p w:rsidR="00BF0E37" w:rsidRPr="00296647" w:rsidRDefault="00BF0E37" w:rsidP="00BF0E37">
      <w:pPr>
        <w:spacing w:after="0" w:line="240" w:lineRule="auto"/>
        <w:jc w:val="both"/>
        <w:rPr>
          <w:rFonts w:ascii="Times New Roman" w:hAnsi="Times New Roman"/>
          <w:b/>
          <w:i/>
          <w:sz w:val="24"/>
          <w:szCs w:val="24"/>
          <w:lang w:val="fr-FR"/>
        </w:rPr>
      </w:pPr>
      <w:r>
        <w:rPr>
          <w:rFonts w:ascii="Times New Roman" w:hAnsi="Times New Roman"/>
          <w:b/>
          <w:i/>
          <w:sz w:val="24"/>
          <w:szCs w:val="24"/>
          <w:lang w:val="fr-FR"/>
        </w:rPr>
        <w:t xml:space="preserve">6.1.2  </w:t>
      </w:r>
      <w:r w:rsidRPr="00296647">
        <w:rPr>
          <w:rFonts w:ascii="Times New Roman" w:hAnsi="Times New Roman"/>
          <w:b/>
          <w:i/>
          <w:sz w:val="24"/>
          <w:szCs w:val="24"/>
          <w:lang w:val="fr-FR"/>
        </w:rPr>
        <w:t xml:space="preserve">Belle Mare </w:t>
      </w:r>
      <w:proofErr w:type="spellStart"/>
      <w:r w:rsidRPr="00296647">
        <w:rPr>
          <w:rFonts w:ascii="Times New Roman" w:hAnsi="Times New Roman"/>
          <w:b/>
          <w:i/>
          <w:sz w:val="24"/>
          <w:szCs w:val="24"/>
          <w:lang w:val="fr-FR"/>
        </w:rPr>
        <w:t>Tourist</w:t>
      </w:r>
      <w:proofErr w:type="spellEnd"/>
      <w:r w:rsidRPr="00296647">
        <w:rPr>
          <w:rFonts w:ascii="Times New Roman" w:hAnsi="Times New Roman"/>
          <w:b/>
          <w:i/>
          <w:sz w:val="24"/>
          <w:szCs w:val="24"/>
          <w:lang w:val="fr-FR"/>
        </w:rPr>
        <w:t xml:space="preserve"> Village Project (BMTV)</w:t>
      </w:r>
    </w:p>
    <w:p w:rsidR="00BF0E37" w:rsidRPr="00296647" w:rsidRDefault="00BF0E37" w:rsidP="00BF0E37">
      <w:pPr>
        <w:spacing w:after="0" w:line="240" w:lineRule="auto"/>
        <w:jc w:val="both"/>
        <w:rPr>
          <w:rFonts w:ascii="Times New Roman" w:hAnsi="Times New Roman"/>
          <w:sz w:val="24"/>
          <w:szCs w:val="24"/>
          <w:lang w:val="fr-FR"/>
        </w:rPr>
      </w:pPr>
    </w:p>
    <w:p w:rsidR="00BF0E37" w:rsidRDefault="00BF0E37" w:rsidP="00BF0E37">
      <w:pPr>
        <w:tabs>
          <w:tab w:val="left" w:pos="720"/>
        </w:tabs>
        <w:spacing w:after="0" w:line="240" w:lineRule="auto"/>
        <w:jc w:val="both"/>
        <w:rPr>
          <w:rFonts w:ascii="Times New Roman" w:hAnsi="Times New Roman"/>
          <w:sz w:val="24"/>
          <w:szCs w:val="24"/>
        </w:rPr>
      </w:pPr>
      <w:r w:rsidRPr="008A7780">
        <w:rPr>
          <w:rFonts w:ascii="Times New Roman" w:hAnsi="Times New Roman"/>
          <w:sz w:val="24"/>
          <w:szCs w:val="24"/>
        </w:rPr>
        <w:t xml:space="preserve">The Belle Mare Tourist Village project, constructed over leasehold land of an extent of 21,000 </w:t>
      </w:r>
      <w:r>
        <w:rPr>
          <w:rFonts w:ascii="Times New Roman" w:hAnsi="Times New Roman"/>
          <w:sz w:val="24"/>
          <w:szCs w:val="24"/>
        </w:rPr>
        <w:t>m</w:t>
      </w:r>
      <w:r w:rsidRPr="00DC1308">
        <w:rPr>
          <w:rFonts w:ascii="Times New Roman" w:hAnsi="Times New Roman"/>
          <w:sz w:val="24"/>
          <w:szCs w:val="24"/>
          <w:vertAlign w:val="superscript"/>
        </w:rPr>
        <w:t>2</w:t>
      </w:r>
      <w:r w:rsidRPr="008A7780">
        <w:rPr>
          <w:rFonts w:ascii="Times New Roman" w:hAnsi="Times New Roman"/>
          <w:sz w:val="24"/>
          <w:szCs w:val="24"/>
        </w:rPr>
        <w:t xml:space="preserve"> has a total rental space of 1</w:t>
      </w:r>
      <w:r>
        <w:rPr>
          <w:rFonts w:ascii="Times New Roman" w:hAnsi="Times New Roman"/>
          <w:sz w:val="24"/>
          <w:szCs w:val="24"/>
        </w:rPr>
        <w:t>,</w:t>
      </w:r>
      <w:r w:rsidRPr="008A7780">
        <w:rPr>
          <w:rFonts w:ascii="Times New Roman" w:hAnsi="Times New Roman"/>
          <w:sz w:val="24"/>
          <w:szCs w:val="24"/>
        </w:rPr>
        <w:t xml:space="preserve">352 </w:t>
      </w:r>
      <w:r>
        <w:rPr>
          <w:rFonts w:ascii="Times New Roman" w:hAnsi="Times New Roman"/>
          <w:sz w:val="24"/>
          <w:szCs w:val="24"/>
        </w:rPr>
        <w:t>m</w:t>
      </w:r>
      <w:r w:rsidRPr="00DC1308">
        <w:rPr>
          <w:rFonts w:ascii="Times New Roman" w:hAnsi="Times New Roman"/>
          <w:sz w:val="24"/>
          <w:szCs w:val="24"/>
          <w:vertAlign w:val="superscript"/>
        </w:rPr>
        <w:t>2</w:t>
      </w:r>
      <w:r>
        <w:rPr>
          <w:rFonts w:ascii="Times New Roman" w:hAnsi="Times New Roman"/>
          <w:sz w:val="24"/>
          <w:szCs w:val="24"/>
          <w:vertAlign w:val="subscript"/>
        </w:rPr>
        <w:t xml:space="preserve"> </w:t>
      </w:r>
      <w:r w:rsidRPr="008A7780">
        <w:rPr>
          <w:rFonts w:ascii="Times New Roman" w:hAnsi="Times New Roman"/>
          <w:sz w:val="24"/>
          <w:szCs w:val="24"/>
        </w:rPr>
        <w:t xml:space="preserve">and comprises 35 shops, seven food courts, an auditorium, a museum and an administrative block. </w:t>
      </w:r>
      <w:r>
        <w:rPr>
          <w:rFonts w:ascii="Times New Roman" w:hAnsi="Times New Roman"/>
          <w:sz w:val="24"/>
          <w:szCs w:val="24"/>
        </w:rPr>
        <w:t>O</w:t>
      </w:r>
      <w:r w:rsidRPr="008A7780">
        <w:rPr>
          <w:rFonts w:ascii="Times New Roman" w:hAnsi="Times New Roman"/>
          <w:sz w:val="24"/>
          <w:szCs w:val="24"/>
        </w:rPr>
        <w:t>n 31 March 2015</w:t>
      </w:r>
      <w:r>
        <w:rPr>
          <w:rFonts w:ascii="Times New Roman" w:hAnsi="Times New Roman"/>
          <w:sz w:val="24"/>
          <w:szCs w:val="24"/>
        </w:rPr>
        <w:t>,</w:t>
      </w:r>
      <w:r w:rsidRPr="008A7780">
        <w:rPr>
          <w:rFonts w:ascii="Times New Roman" w:hAnsi="Times New Roman"/>
          <w:sz w:val="24"/>
          <w:szCs w:val="24"/>
        </w:rPr>
        <w:t xml:space="preserve"> TVCL reported to </w:t>
      </w:r>
      <w:r w:rsidRPr="008A7780">
        <w:rPr>
          <w:rFonts w:ascii="Times New Roman" w:hAnsi="Times New Roman"/>
          <w:sz w:val="24"/>
          <w:szCs w:val="24"/>
        </w:rPr>
        <w:lastRenderedPageBreak/>
        <w:t>MOFED that the BMTV has never been operational, that is 42 months after its completion</w:t>
      </w:r>
      <w:r>
        <w:rPr>
          <w:rFonts w:ascii="Times New Roman" w:hAnsi="Times New Roman"/>
          <w:sz w:val="24"/>
          <w:szCs w:val="24"/>
        </w:rPr>
        <w:t xml:space="preserve"> in September 2011</w:t>
      </w:r>
      <w:r w:rsidRPr="008A7780">
        <w:rPr>
          <w:rFonts w:ascii="Times New Roman" w:hAnsi="Times New Roman"/>
          <w:sz w:val="24"/>
          <w:szCs w:val="24"/>
        </w:rPr>
        <w:t xml:space="preserve">. </w:t>
      </w:r>
    </w:p>
    <w:p w:rsidR="00BF0E37" w:rsidRDefault="00BF0E37" w:rsidP="00BF0E37">
      <w:pPr>
        <w:tabs>
          <w:tab w:val="left" w:pos="720"/>
        </w:tabs>
        <w:spacing w:after="0" w:line="240" w:lineRule="auto"/>
        <w:jc w:val="both"/>
        <w:rPr>
          <w:rFonts w:ascii="Times New Roman" w:hAnsi="Times New Roman"/>
          <w:sz w:val="24"/>
          <w:szCs w:val="24"/>
        </w:rPr>
      </w:pPr>
    </w:p>
    <w:p w:rsidR="00BF0E37" w:rsidRDefault="00BF0E37" w:rsidP="00BF0E37">
      <w:pPr>
        <w:tabs>
          <w:tab w:val="left" w:pos="720"/>
        </w:tabs>
        <w:spacing w:after="0" w:line="240" w:lineRule="auto"/>
        <w:jc w:val="both"/>
        <w:rPr>
          <w:rFonts w:ascii="Times New Roman" w:hAnsi="Times New Roman"/>
          <w:sz w:val="24"/>
          <w:szCs w:val="24"/>
        </w:rPr>
      </w:pPr>
      <w:r w:rsidRPr="008A7780">
        <w:rPr>
          <w:rFonts w:ascii="Times New Roman" w:hAnsi="Times New Roman"/>
          <w:sz w:val="24"/>
          <w:szCs w:val="24"/>
        </w:rPr>
        <w:t xml:space="preserve">The market value </w:t>
      </w:r>
      <w:r>
        <w:rPr>
          <w:rFonts w:ascii="Times New Roman" w:hAnsi="Times New Roman"/>
          <w:sz w:val="24"/>
          <w:szCs w:val="24"/>
        </w:rPr>
        <w:t xml:space="preserve">of the property of BMTV was </w:t>
      </w:r>
      <w:r w:rsidRPr="008A7780">
        <w:rPr>
          <w:rFonts w:ascii="Times New Roman" w:hAnsi="Times New Roman"/>
          <w:sz w:val="24"/>
          <w:szCs w:val="24"/>
        </w:rPr>
        <w:t>e</w:t>
      </w:r>
      <w:r>
        <w:rPr>
          <w:rFonts w:ascii="Times New Roman" w:hAnsi="Times New Roman"/>
          <w:sz w:val="24"/>
          <w:szCs w:val="24"/>
        </w:rPr>
        <w:t xml:space="preserve">stimated at Rs 194 million as of </w:t>
      </w:r>
      <w:r>
        <w:rPr>
          <w:rFonts w:ascii="Times New Roman" w:hAnsi="Times New Roman"/>
          <w:sz w:val="24"/>
          <w:szCs w:val="24"/>
        </w:rPr>
        <w:br/>
        <w:t>31 December 2012. L</w:t>
      </w:r>
      <w:r w:rsidRPr="008A7780">
        <w:rPr>
          <w:rFonts w:ascii="Times New Roman" w:hAnsi="Times New Roman"/>
          <w:sz w:val="24"/>
          <w:szCs w:val="24"/>
        </w:rPr>
        <w:t xml:space="preserve">ittle has been collected in terms of rental of </w:t>
      </w:r>
      <w:proofErr w:type="gramStart"/>
      <w:r w:rsidRPr="008A7780">
        <w:rPr>
          <w:rFonts w:ascii="Times New Roman" w:hAnsi="Times New Roman"/>
          <w:sz w:val="24"/>
          <w:szCs w:val="24"/>
        </w:rPr>
        <w:t>shops</w:t>
      </w:r>
      <w:r>
        <w:rPr>
          <w:rFonts w:ascii="Times New Roman" w:hAnsi="Times New Roman"/>
          <w:sz w:val="24"/>
          <w:szCs w:val="24"/>
        </w:rPr>
        <w:t>, that</w:t>
      </w:r>
      <w:proofErr w:type="gramEnd"/>
      <w:r>
        <w:rPr>
          <w:rFonts w:ascii="Times New Roman" w:hAnsi="Times New Roman"/>
          <w:sz w:val="24"/>
          <w:szCs w:val="24"/>
        </w:rPr>
        <w:t xml:space="preserve"> is Rs 149,030 between 2010 and 2012</w:t>
      </w:r>
      <w:r w:rsidRPr="008A7780">
        <w:rPr>
          <w:rFonts w:ascii="Times New Roman" w:hAnsi="Times New Roman"/>
          <w:sz w:val="24"/>
          <w:szCs w:val="24"/>
        </w:rPr>
        <w:t xml:space="preserve">. </w:t>
      </w:r>
    </w:p>
    <w:p w:rsidR="00BF0E37" w:rsidRDefault="00BF0E37" w:rsidP="00BF0E37">
      <w:pPr>
        <w:tabs>
          <w:tab w:val="left" w:pos="720"/>
        </w:tabs>
        <w:spacing w:after="0" w:line="240" w:lineRule="auto"/>
        <w:jc w:val="both"/>
        <w:rPr>
          <w:rFonts w:ascii="Times New Roman" w:hAnsi="Times New Roman"/>
          <w:sz w:val="24"/>
          <w:szCs w:val="24"/>
        </w:rPr>
      </w:pPr>
    </w:p>
    <w:p w:rsidR="00BF0E37" w:rsidRPr="008A7780" w:rsidRDefault="00BF0E37" w:rsidP="00BF0E37">
      <w:pPr>
        <w:tabs>
          <w:tab w:val="left" w:pos="720"/>
        </w:tabs>
        <w:spacing w:after="0" w:line="240" w:lineRule="auto"/>
        <w:jc w:val="both"/>
        <w:rPr>
          <w:rFonts w:ascii="Times New Roman" w:hAnsi="Times New Roman"/>
          <w:sz w:val="24"/>
          <w:szCs w:val="24"/>
        </w:rPr>
      </w:pPr>
      <w:r>
        <w:rPr>
          <w:rFonts w:ascii="Times New Roman" w:hAnsi="Times New Roman"/>
          <w:sz w:val="24"/>
          <w:szCs w:val="24"/>
        </w:rPr>
        <w:t>F</w:t>
      </w:r>
      <w:r w:rsidRPr="008A7780">
        <w:rPr>
          <w:rFonts w:ascii="Times New Roman" w:hAnsi="Times New Roman"/>
          <w:sz w:val="24"/>
          <w:szCs w:val="24"/>
        </w:rPr>
        <w:t>rom documentation</w:t>
      </w:r>
      <w:r>
        <w:rPr>
          <w:rFonts w:ascii="Times New Roman" w:hAnsi="Times New Roman"/>
          <w:sz w:val="24"/>
          <w:szCs w:val="24"/>
        </w:rPr>
        <w:t xml:space="preserve"> available </w:t>
      </w:r>
      <w:r w:rsidRPr="008A7780">
        <w:rPr>
          <w:rFonts w:ascii="Times New Roman" w:hAnsi="Times New Roman"/>
          <w:sz w:val="24"/>
          <w:szCs w:val="24"/>
        </w:rPr>
        <w:t>at the MOFED</w:t>
      </w:r>
      <w:r>
        <w:rPr>
          <w:rFonts w:ascii="Times New Roman" w:hAnsi="Times New Roman"/>
          <w:sz w:val="24"/>
          <w:szCs w:val="24"/>
        </w:rPr>
        <w:t>,</w:t>
      </w:r>
      <w:r w:rsidRPr="00F54953">
        <w:rPr>
          <w:rFonts w:ascii="Times New Roman" w:hAnsi="Times New Roman"/>
          <w:sz w:val="24"/>
          <w:szCs w:val="24"/>
        </w:rPr>
        <w:t xml:space="preserve"> </w:t>
      </w:r>
      <w:r>
        <w:rPr>
          <w:rFonts w:ascii="Times New Roman" w:hAnsi="Times New Roman"/>
          <w:sz w:val="24"/>
          <w:szCs w:val="24"/>
        </w:rPr>
        <w:t>t</w:t>
      </w:r>
      <w:r w:rsidRPr="008A7780">
        <w:rPr>
          <w:rFonts w:ascii="Times New Roman" w:hAnsi="Times New Roman"/>
          <w:sz w:val="24"/>
          <w:szCs w:val="24"/>
        </w:rPr>
        <w:t>he following</w:t>
      </w:r>
      <w:r>
        <w:rPr>
          <w:rFonts w:ascii="Times New Roman" w:hAnsi="Times New Roman"/>
          <w:sz w:val="24"/>
          <w:szCs w:val="24"/>
        </w:rPr>
        <w:t xml:space="preserve"> were noted</w:t>
      </w:r>
      <w:r w:rsidRPr="008A7780">
        <w:rPr>
          <w:rFonts w:ascii="Times New Roman" w:hAnsi="Times New Roman"/>
          <w:sz w:val="24"/>
          <w:szCs w:val="24"/>
        </w:rPr>
        <w:t>:</w:t>
      </w:r>
    </w:p>
    <w:p w:rsidR="00BF0E37" w:rsidRDefault="00BF0E37" w:rsidP="00BF0E37">
      <w:pPr>
        <w:spacing w:after="0" w:line="240" w:lineRule="auto"/>
        <w:jc w:val="both"/>
        <w:rPr>
          <w:rFonts w:ascii="Times New Roman" w:hAnsi="Times New Roman"/>
          <w:sz w:val="24"/>
          <w:szCs w:val="24"/>
        </w:rPr>
      </w:pPr>
    </w:p>
    <w:p w:rsidR="00BF0E37" w:rsidRPr="00296647" w:rsidRDefault="00BF0E37" w:rsidP="00BF0E37">
      <w:pPr>
        <w:spacing w:after="0" w:line="240" w:lineRule="auto"/>
        <w:jc w:val="both"/>
        <w:rPr>
          <w:rFonts w:ascii="Times New Roman" w:hAnsi="Times New Roman"/>
          <w:i/>
          <w:sz w:val="24"/>
          <w:szCs w:val="24"/>
        </w:rPr>
      </w:pPr>
      <w:r w:rsidRPr="00296647">
        <w:rPr>
          <w:rFonts w:ascii="Times New Roman" w:hAnsi="Times New Roman"/>
          <w:i/>
          <w:sz w:val="24"/>
          <w:szCs w:val="24"/>
        </w:rPr>
        <w:t>Construction Phase</w:t>
      </w:r>
    </w:p>
    <w:p w:rsidR="00BF0E37" w:rsidRDefault="00BF0E37" w:rsidP="00BF0E37">
      <w:pPr>
        <w:spacing w:after="0" w:line="240" w:lineRule="auto"/>
        <w:jc w:val="both"/>
        <w:rPr>
          <w:rFonts w:ascii="Times New Roman" w:hAnsi="Times New Roman"/>
          <w:sz w:val="24"/>
          <w:szCs w:val="24"/>
        </w:rPr>
      </w:pPr>
    </w:p>
    <w:p w:rsidR="00BF0E37" w:rsidRDefault="00BF0E37" w:rsidP="00BF0E37">
      <w:pPr>
        <w:spacing w:after="0" w:line="240" w:lineRule="auto"/>
        <w:jc w:val="both"/>
        <w:rPr>
          <w:rFonts w:ascii="Times New Roman" w:hAnsi="Times New Roman"/>
          <w:sz w:val="24"/>
          <w:szCs w:val="24"/>
        </w:rPr>
      </w:pPr>
      <w:r>
        <w:rPr>
          <w:rFonts w:ascii="Times New Roman" w:hAnsi="Times New Roman"/>
          <w:sz w:val="24"/>
          <w:szCs w:val="24"/>
        </w:rPr>
        <w:t xml:space="preserve">In February 2008, </w:t>
      </w:r>
      <w:r w:rsidRPr="00F96168">
        <w:rPr>
          <w:rFonts w:ascii="Times New Roman" w:hAnsi="Times New Roman"/>
          <w:sz w:val="24"/>
          <w:szCs w:val="24"/>
        </w:rPr>
        <w:t xml:space="preserve">TVCL informed the Ministry that the cost estimate was revised from </w:t>
      </w:r>
      <w:r>
        <w:rPr>
          <w:rFonts w:ascii="Times New Roman" w:hAnsi="Times New Roman"/>
          <w:sz w:val="24"/>
          <w:szCs w:val="24"/>
        </w:rPr>
        <w:br/>
      </w:r>
      <w:r w:rsidRPr="00F96168">
        <w:rPr>
          <w:rFonts w:ascii="Times New Roman" w:hAnsi="Times New Roman"/>
          <w:sz w:val="24"/>
          <w:szCs w:val="24"/>
        </w:rPr>
        <w:t>Rs</w:t>
      </w:r>
      <w:r>
        <w:rPr>
          <w:rFonts w:ascii="Times New Roman" w:hAnsi="Times New Roman"/>
          <w:sz w:val="24"/>
          <w:szCs w:val="24"/>
        </w:rPr>
        <w:t xml:space="preserve"> </w:t>
      </w:r>
      <w:r w:rsidRPr="00F96168">
        <w:rPr>
          <w:rFonts w:ascii="Times New Roman" w:hAnsi="Times New Roman"/>
          <w:sz w:val="24"/>
          <w:szCs w:val="24"/>
        </w:rPr>
        <w:t>100 million to Rs 120 million.</w:t>
      </w:r>
      <w:r>
        <w:rPr>
          <w:rFonts w:ascii="Times New Roman" w:hAnsi="Times New Roman"/>
          <w:sz w:val="24"/>
          <w:szCs w:val="24"/>
        </w:rPr>
        <w:t xml:space="preserve"> </w:t>
      </w:r>
      <w:r w:rsidRPr="00F96168">
        <w:rPr>
          <w:rFonts w:ascii="Times New Roman" w:hAnsi="Times New Roman"/>
          <w:sz w:val="24"/>
          <w:szCs w:val="24"/>
        </w:rPr>
        <w:t>The architectural design competition was finalised in October 2007. Tenders for consultancy services for mechanical, electrical, civil and structural works at Belle Ma</w:t>
      </w:r>
      <w:r>
        <w:rPr>
          <w:rFonts w:ascii="Times New Roman" w:hAnsi="Times New Roman"/>
          <w:sz w:val="24"/>
          <w:szCs w:val="24"/>
        </w:rPr>
        <w:t>re were floated in October 2007, whereas</w:t>
      </w:r>
      <w:r w:rsidRPr="00F96168">
        <w:rPr>
          <w:rFonts w:ascii="Times New Roman" w:hAnsi="Times New Roman"/>
          <w:sz w:val="24"/>
          <w:szCs w:val="24"/>
        </w:rPr>
        <w:t xml:space="preserve"> tenders for construction works were scheduled to be launched </w:t>
      </w:r>
      <w:r>
        <w:rPr>
          <w:rFonts w:ascii="Times New Roman" w:hAnsi="Times New Roman"/>
          <w:sz w:val="24"/>
          <w:szCs w:val="24"/>
        </w:rPr>
        <w:t xml:space="preserve">in May 2008. TVCL </w:t>
      </w:r>
      <w:r w:rsidRPr="00F96168">
        <w:rPr>
          <w:rFonts w:ascii="Times New Roman" w:hAnsi="Times New Roman"/>
          <w:sz w:val="24"/>
          <w:szCs w:val="24"/>
        </w:rPr>
        <w:t>completed</w:t>
      </w:r>
      <w:r>
        <w:rPr>
          <w:rFonts w:ascii="Times New Roman" w:hAnsi="Times New Roman"/>
          <w:sz w:val="24"/>
          <w:szCs w:val="24"/>
        </w:rPr>
        <w:t xml:space="preserve"> the construction of the first T</w:t>
      </w:r>
      <w:r w:rsidRPr="00F96168">
        <w:rPr>
          <w:rFonts w:ascii="Times New Roman" w:hAnsi="Times New Roman"/>
          <w:sz w:val="24"/>
          <w:szCs w:val="24"/>
        </w:rPr>
        <w:t xml:space="preserve">ourist </w:t>
      </w:r>
      <w:r>
        <w:rPr>
          <w:rFonts w:ascii="Times New Roman" w:hAnsi="Times New Roman"/>
          <w:sz w:val="24"/>
          <w:szCs w:val="24"/>
        </w:rPr>
        <w:t>V</w:t>
      </w:r>
      <w:r w:rsidRPr="00F96168">
        <w:rPr>
          <w:rFonts w:ascii="Times New Roman" w:hAnsi="Times New Roman"/>
          <w:sz w:val="24"/>
          <w:szCs w:val="24"/>
        </w:rPr>
        <w:t>illage at Belle Mare at a total cost of some Rs</w:t>
      </w:r>
      <w:r>
        <w:rPr>
          <w:rFonts w:ascii="Times New Roman" w:hAnsi="Times New Roman"/>
          <w:sz w:val="24"/>
          <w:szCs w:val="24"/>
        </w:rPr>
        <w:t xml:space="preserve"> </w:t>
      </w:r>
      <w:r w:rsidRPr="00F96168">
        <w:rPr>
          <w:rFonts w:ascii="Times New Roman" w:hAnsi="Times New Roman"/>
          <w:sz w:val="24"/>
          <w:szCs w:val="24"/>
        </w:rPr>
        <w:t>185 million in September 2011.</w:t>
      </w:r>
    </w:p>
    <w:p w:rsidR="00BF0E37" w:rsidRDefault="00BF0E37" w:rsidP="00BF0E37">
      <w:pPr>
        <w:spacing w:after="0" w:line="240" w:lineRule="auto"/>
        <w:jc w:val="both"/>
        <w:rPr>
          <w:rFonts w:ascii="Times New Roman" w:hAnsi="Times New Roman"/>
          <w:sz w:val="24"/>
          <w:szCs w:val="24"/>
        </w:rPr>
      </w:pPr>
    </w:p>
    <w:p w:rsidR="00BF0E37" w:rsidRPr="00296647" w:rsidRDefault="00BF0E37" w:rsidP="00BF0E37">
      <w:pPr>
        <w:spacing w:after="0" w:line="240" w:lineRule="auto"/>
        <w:jc w:val="both"/>
        <w:rPr>
          <w:rFonts w:ascii="Times New Roman" w:hAnsi="Times New Roman"/>
          <w:i/>
          <w:sz w:val="24"/>
          <w:szCs w:val="24"/>
        </w:rPr>
      </w:pPr>
      <w:r w:rsidRPr="00296647">
        <w:rPr>
          <w:rFonts w:ascii="Times New Roman" w:hAnsi="Times New Roman"/>
          <w:i/>
          <w:sz w:val="24"/>
          <w:szCs w:val="24"/>
        </w:rPr>
        <w:t>Operation</w:t>
      </w:r>
      <w:r>
        <w:rPr>
          <w:rFonts w:ascii="Times New Roman" w:hAnsi="Times New Roman"/>
          <w:i/>
          <w:sz w:val="24"/>
          <w:szCs w:val="24"/>
        </w:rPr>
        <w:t>s</w:t>
      </w:r>
      <w:r w:rsidRPr="00296647">
        <w:rPr>
          <w:rFonts w:ascii="Times New Roman" w:hAnsi="Times New Roman"/>
          <w:i/>
          <w:sz w:val="24"/>
          <w:szCs w:val="24"/>
        </w:rPr>
        <w:t xml:space="preserve"> Management</w:t>
      </w:r>
    </w:p>
    <w:p w:rsidR="00BF0E37" w:rsidRDefault="00BF0E37" w:rsidP="00BF0E37">
      <w:pPr>
        <w:spacing w:after="0" w:line="240" w:lineRule="auto"/>
        <w:jc w:val="both"/>
        <w:rPr>
          <w:rFonts w:ascii="Times New Roman" w:hAnsi="Times New Roman"/>
          <w:sz w:val="24"/>
          <w:szCs w:val="24"/>
        </w:rPr>
      </w:pPr>
    </w:p>
    <w:p w:rsidR="00BF0E37" w:rsidRDefault="00BF0E37" w:rsidP="00BF0E37">
      <w:pPr>
        <w:spacing w:after="0" w:line="240" w:lineRule="auto"/>
        <w:jc w:val="both"/>
        <w:rPr>
          <w:rFonts w:ascii="Times New Roman" w:hAnsi="Times New Roman"/>
          <w:sz w:val="24"/>
          <w:szCs w:val="24"/>
        </w:rPr>
      </w:pPr>
      <w:r w:rsidRPr="00F96168">
        <w:rPr>
          <w:rFonts w:ascii="Times New Roman" w:hAnsi="Times New Roman"/>
          <w:sz w:val="24"/>
          <w:szCs w:val="24"/>
        </w:rPr>
        <w:t>The monthly minimum operatin</w:t>
      </w:r>
      <w:r>
        <w:rPr>
          <w:rFonts w:ascii="Times New Roman" w:hAnsi="Times New Roman"/>
          <w:sz w:val="24"/>
          <w:szCs w:val="24"/>
        </w:rPr>
        <w:t>g</w:t>
      </w:r>
      <w:r w:rsidRPr="00F96168">
        <w:rPr>
          <w:rFonts w:ascii="Times New Roman" w:hAnsi="Times New Roman"/>
          <w:sz w:val="24"/>
          <w:szCs w:val="24"/>
        </w:rPr>
        <w:t xml:space="preserve"> cost would be Rs</w:t>
      </w:r>
      <w:r w:rsidR="0019175B">
        <w:rPr>
          <w:rFonts w:ascii="Times New Roman" w:hAnsi="Times New Roman"/>
          <w:sz w:val="24"/>
          <w:szCs w:val="24"/>
        </w:rPr>
        <w:t xml:space="preserve"> </w:t>
      </w:r>
      <w:r w:rsidRPr="00F96168">
        <w:rPr>
          <w:rFonts w:ascii="Times New Roman" w:hAnsi="Times New Roman"/>
          <w:sz w:val="24"/>
          <w:szCs w:val="24"/>
        </w:rPr>
        <w:t>1 million. TVCL would have to charge SMEs a minimum rental of Rs</w:t>
      </w:r>
      <w:r>
        <w:rPr>
          <w:rFonts w:ascii="Times New Roman" w:hAnsi="Times New Roman"/>
          <w:sz w:val="24"/>
          <w:szCs w:val="24"/>
        </w:rPr>
        <w:t xml:space="preserve"> </w:t>
      </w:r>
      <w:r w:rsidRPr="00F96168">
        <w:rPr>
          <w:rFonts w:ascii="Times New Roman" w:hAnsi="Times New Roman"/>
          <w:sz w:val="24"/>
          <w:szCs w:val="24"/>
        </w:rPr>
        <w:t>1</w:t>
      </w:r>
      <w:r>
        <w:rPr>
          <w:rFonts w:ascii="Times New Roman" w:hAnsi="Times New Roman"/>
          <w:sz w:val="24"/>
          <w:szCs w:val="24"/>
        </w:rPr>
        <w:t>,</w:t>
      </w:r>
      <w:r w:rsidRPr="00F96168">
        <w:rPr>
          <w:rFonts w:ascii="Times New Roman" w:hAnsi="Times New Roman"/>
          <w:sz w:val="24"/>
          <w:szCs w:val="24"/>
        </w:rPr>
        <w:t xml:space="preserve">300 per </w:t>
      </w:r>
      <w:r>
        <w:rPr>
          <w:rFonts w:ascii="Times New Roman" w:hAnsi="Times New Roman"/>
          <w:sz w:val="24"/>
          <w:szCs w:val="24"/>
        </w:rPr>
        <w:t>m</w:t>
      </w:r>
      <w:r w:rsidRPr="008D2E22">
        <w:rPr>
          <w:rFonts w:ascii="Times New Roman" w:hAnsi="Times New Roman"/>
          <w:sz w:val="24"/>
          <w:szCs w:val="24"/>
          <w:vertAlign w:val="superscript"/>
        </w:rPr>
        <w:t>2</w:t>
      </w:r>
      <w:r>
        <w:rPr>
          <w:rFonts w:ascii="Times New Roman" w:hAnsi="Times New Roman"/>
          <w:sz w:val="24"/>
          <w:szCs w:val="24"/>
        </w:rPr>
        <w:t xml:space="preserve"> </w:t>
      </w:r>
      <w:r w:rsidRPr="00F96168">
        <w:rPr>
          <w:rFonts w:ascii="Times New Roman" w:hAnsi="Times New Roman"/>
          <w:sz w:val="24"/>
          <w:szCs w:val="24"/>
        </w:rPr>
        <w:t>to ensure its viability. It is unlikely that small entrepreneurs w</w:t>
      </w:r>
      <w:r>
        <w:rPr>
          <w:rFonts w:ascii="Times New Roman" w:hAnsi="Times New Roman"/>
          <w:sz w:val="24"/>
          <w:szCs w:val="24"/>
        </w:rPr>
        <w:t>ill</w:t>
      </w:r>
      <w:r w:rsidRPr="00F96168">
        <w:rPr>
          <w:rFonts w:ascii="Times New Roman" w:hAnsi="Times New Roman"/>
          <w:sz w:val="24"/>
          <w:szCs w:val="24"/>
        </w:rPr>
        <w:t xml:space="preserve"> be in a position to pay such a rental given that lower rentals are charged by other owne</w:t>
      </w:r>
      <w:r>
        <w:rPr>
          <w:rFonts w:ascii="Times New Roman" w:hAnsi="Times New Roman"/>
          <w:sz w:val="24"/>
          <w:szCs w:val="24"/>
        </w:rPr>
        <w:t>rs in the vicinity</w:t>
      </w:r>
      <w:r w:rsidRPr="00F96168">
        <w:rPr>
          <w:rFonts w:ascii="Times New Roman" w:hAnsi="Times New Roman"/>
          <w:sz w:val="24"/>
          <w:szCs w:val="24"/>
        </w:rPr>
        <w:t xml:space="preserve">. It </w:t>
      </w:r>
      <w:r>
        <w:rPr>
          <w:rFonts w:ascii="Times New Roman" w:hAnsi="Times New Roman"/>
          <w:sz w:val="24"/>
          <w:szCs w:val="24"/>
        </w:rPr>
        <w:t xml:space="preserve">was found that it </w:t>
      </w:r>
      <w:r w:rsidRPr="00F96168">
        <w:rPr>
          <w:rFonts w:ascii="Times New Roman" w:hAnsi="Times New Roman"/>
          <w:sz w:val="24"/>
          <w:szCs w:val="24"/>
        </w:rPr>
        <w:t>would be more appropriate to consider disposing of the BMTV.</w:t>
      </w:r>
    </w:p>
    <w:p w:rsidR="00BF0E37" w:rsidRDefault="00BF0E37" w:rsidP="00BF0E37">
      <w:pPr>
        <w:spacing w:after="0" w:line="240" w:lineRule="auto"/>
        <w:jc w:val="both"/>
        <w:rPr>
          <w:rFonts w:ascii="Times New Roman" w:hAnsi="Times New Roman"/>
          <w:sz w:val="24"/>
          <w:szCs w:val="24"/>
        </w:rPr>
      </w:pPr>
    </w:p>
    <w:p w:rsidR="00BF0E37" w:rsidRPr="00296647" w:rsidRDefault="00BF0E37" w:rsidP="00BF0E37">
      <w:pPr>
        <w:spacing w:after="0" w:line="240" w:lineRule="auto"/>
        <w:jc w:val="both"/>
        <w:rPr>
          <w:rFonts w:ascii="Times New Roman" w:hAnsi="Times New Roman"/>
          <w:i/>
          <w:sz w:val="24"/>
          <w:szCs w:val="24"/>
        </w:rPr>
      </w:pPr>
      <w:r w:rsidRPr="00296647">
        <w:rPr>
          <w:rFonts w:ascii="Times New Roman" w:hAnsi="Times New Roman"/>
          <w:i/>
          <w:sz w:val="24"/>
          <w:szCs w:val="24"/>
        </w:rPr>
        <w:t>Disposal Procedure</w:t>
      </w:r>
    </w:p>
    <w:p w:rsidR="00BF0E37" w:rsidRDefault="00BF0E37" w:rsidP="00BF0E37">
      <w:pPr>
        <w:spacing w:after="0" w:line="240" w:lineRule="auto"/>
        <w:jc w:val="both"/>
        <w:rPr>
          <w:rFonts w:ascii="Times New Roman" w:hAnsi="Times New Roman"/>
          <w:sz w:val="24"/>
          <w:szCs w:val="24"/>
        </w:rPr>
      </w:pPr>
    </w:p>
    <w:p w:rsidR="00BF0E37" w:rsidRPr="00F96168" w:rsidRDefault="00BF0E37" w:rsidP="00BF0E37">
      <w:pPr>
        <w:spacing w:after="0" w:line="240" w:lineRule="auto"/>
        <w:jc w:val="both"/>
        <w:rPr>
          <w:rFonts w:ascii="Times New Roman" w:hAnsi="Times New Roman"/>
          <w:sz w:val="24"/>
          <w:szCs w:val="24"/>
        </w:rPr>
      </w:pPr>
      <w:r>
        <w:rPr>
          <w:rFonts w:ascii="Times New Roman" w:hAnsi="Times New Roman"/>
          <w:sz w:val="24"/>
          <w:szCs w:val="24"/>
        </w:rPr>
        <w:t>Subse</w:t>
      </w:r>
      <w:r w:rsidRPr="00F96168">
        <w:rPr>
          <w:rFonts w:ascii="Times New Roman" w:hAnsi="Times New Roman"/>
          <w:sz w:val="24"/>
          <w:szCs w:val="24"/>
        </w:rPr>
        <w:t>quently</w:t>
      </w:r>
      <w:r>
        <w:rPr>
          <w:rFonts w:ascii="Times New Roman" w:hAnsi="Times New Roman"/>
          <w:sz w:val="24"/>
          <w:szCs w:val="24"/>
        </w:rPr>
        <w:t>,</w:t>
      </w:r>
      <w:r w:rsidRPr="00F96168">
        <w:rPr>
          <w:rFonts w:ascii="Times New Roman" w:hAnsi="Times New Roman"/>
          <w:sz w:val="24"/>
          <w:szCs w:val="24"/>
        </w:rPr>
        <w:t xml:space="preserve"> Government approved that a competitive tendering exercise be carried out for the disposal of BMTV. The State Investment Corporation (SIC) invited Expression</w:t>
      </w:r>
      <w:r>
        <w:rPr>
          <w:rFonts w:ascii="Times New Roman" w:hAnsi="Times New Roman"/>
          <w:sz w:val="24"/>
          <w:szCs w:val="24"/>
        </w:rPr>
        <w:t xml:space="preserve"> of Interest for the disposal </w:t>
      </w:r>
      <w:r w:rsidR="0019175B">
        <w:rPr>
          <w:rFonts w:ascii="Times New Roman" w:hAnsi="Times New Roman"/>
          <w:sz w:val="24"/>
          <w:szCs w:val="24"/>
        </w:rPr>
        <w:t>of BMTV</w:t>
      </w:r>
      <w:r w:rsidRPr="00F96168">
        <w:rPr>
          <w:rFonts w:ascii="Times New Roman" w:hAnsi="Times New Roman"/>
          <w:sz w:val="24"/>
          <w:szCs w:val="24"/>
        </w:rPr>
        <w:t xml:space="preserve"> in April 2012</w:t>
      </w:r>
      <w:r>
        <w:rPr>
          <w:rFonts w:ascii="Times New Roman" w:hAnsi="Times New Roman"/>
          <w:sz w:val="24"/>
          <w:szCs w:val="24"/>
        </w:rPr>
        <w:t>,</w:t>
      </w:r>
      <w:r w:rsidRPr="00F96168">
        <w:rPr>
          <w:rFonts w:ascii="Times New Roman" w:hAnsi="Times New Roman"/>
          <w:sz w:val="24"/>
          <w:szCs w:val="24"/>
        </w:rPr>
        <w:t xml:space="preserve"> but no </w:t>
      </w:r>
      <w:r>
        <w:rPr>
          <w:rFonts w:ascii="Times New Roman" w:hAnsi="Times New Roman"/>
          <w:sz w:val="24"/>
          <w:szCs w:val="24"/>
        </w:rPr>
        <w:t>responsive</w:t>
      </w:r>
      <w:r w:rsidRPr="00F96168">
        <w:rPr>
          <w:rFonts w:ascii="Times New Roman" w:hAnsi="Times New Roman"/>
          <w:sz w:val="24"/>
          <w:szCs w:val="24"/>
        </w:rPr>
        <w:t xml:space="preserve"> bid was received. </w:t>
      </w:r>
    </w:p>
    <w:p w:rsidR="00BF0E37" w:rsidRDefault="00BF0E37" w:rsidP="00BF0E37">
      <w:pPr>
        <w:spacing w:after="0" w:line="240" w:lineRule="auto"/>
        <w:jc w:val="both"/>
        <w:rPr>
          <w:rFonts w:ascii="Times New Roman" w:hAnsi="Times New Roman"/>
          <w:sz w:val="24"/>
          <w:szCs w:val="24"/>
        </w:rPr>
      </w:pPr>
    </w:p>
    <w:p w:rsidR="00BF0E37" w:rsidRPr="006D7ADF" w:rsidRDefault="00BF0E37" w:rsidP="00BF0E37">
      <w:pPr>
        <w:spacing w:after="0" w:line="240" w:lineRule="auto"/>
        <w:jc w:val="both"/>
        <w:rPr>
          <w:rFonts w:ascii="Times New Roman" w:hAnsi="Times New Roman"/>
          <w:sz w:val="24"/>
          <w:szCs w:val="24"/>
        </w:rPr>
      </w:pPr>
    </w:p>
    <w:p w:rsidR="00BF0E37" w:rsidRPr="003343BC" w:rsidRDefault="00BF0E37" w:rsidP="00BF0E37">
      <w:pPr>
        <w:spacing w:after="0" w:line="240" w:lineRule="auto"/>
        <w:jc w:val="both"/>
        <w:rPr>
          <w:rFonts w:ascii="Times New Roman" w:hAnsi="Times New Roman"/>
          <w:b/>
          <w:i/>
          <w:sz w:val="24"/>
          <w:szCs w:val="24"/>
          <w:u w:val="single"/>
        </w:rPr>
      </w:pPr>
      <w:r w:rsidRPr="003343BC">
        <w:rPr>
          <w:rFonts w:ascii="Times New Roman" w:hAnsi="Times New Roman"/>
          <w:b/>
          <w:i/>
          <w:sz w:val="24"/>
          <w:szCs w:val="24"/>
        </w:rPr>
        <w:t>Observation</w:t>
      </w:r>
      <w:r>
        <w:rPr>
          <w:rFonts w:ascii="Times New Roman" w:hAnsi="Times New Roman"/>
          <w:b/>
          <w:i/>
          <w:sz w:val="24"/>
          <w:szCs w:val="24"/>
        </w:rPr>
        <w:t>s</w:t>
      </w:r>
    </w:p>
    <w:p w:rsidR="00BF0E37" w:rsidRPr="006D7ADF" w:rsidRDefault="00BF0E37" w:rsidP="00BF0E37">
      <w:pPr>
        <w:pStyle w:val="ListParagraph"/>
        <w:spacing w:line="240" w:lineRule="auto"/>
        <w:rPr>
          <w:rFonts w:ascii="Times New Roman" w:hAnsi="Times New Roman"/>
          <w:b/>
          <w:sz w:val="24"/>
          <w:szCs w:val="24"/>
        </w:rPr>
      </w:pPr>
    </w:p>
    <w:p w:rsidR="00BF0E37" w:rsidRDefault="00BF0E37" w:rsidP="00BF0E37">
      <w:pPr>
        <w:pStyle w:val="ListParagraph"/>
        <w:numPr>
          <w:ilvl w:val="0"/>
          <w:numId w:val="28"/>
        </w:numPr>
        <w:spacing w:after="0" w:line="240" w:lineRule="auto"/>
        <w:ind w:left="270" w:hanging="270"/>
        <w:jc w:val="both"/>
        <w:rPr>
          <w:rFonts w:ascii="Times New Roman" w:hAnsi="Times New Roman"/>
          <w:sz w:val="24"/>
          <w:szCs w:val="24"/>
        </w:rPr>
      </w:pPr>
      <w:r w:rsidRPr="006D7ADF">
        <w:rPr>
          <w:rFonts w:ascii="Times New Roman" w:hAnsi="Times New Roman"/>
          <w:sz w:val="24"/>
          <w:szCs w:val="24"/>
        </w:rPr>
        <w:t>No feasibility study report for the BMTV was available at MOFED though it was a major project.</w:t>
      </w:r>
    </w:p>
    <w:p w:rsidR="00BF0E37" w:rsidRPr="006D7ADF" w:rsidRDefault="00BF0E37" w:rsidP="00BF0E37">
      <w:pPr>
        <w:pStyle w:val="ListParagraph"/>
        <w:spacing w:after="0" w:line="240" w:lineRule="auto"/>
        <w:ind w:left="810" w:hanging="360"/>
        <w:jc w:val="both"/>
        <w:rPr>
          <w:rFonts w:ascii="Times New Roman" w:hAnsi="Times New Roman"/>
          <w:sz w:val="24"/>
          <w:szCs w:val="24"/>
        </w:rPr>
      </w:pPr>
    </w:p>
    <w:p w:rsidR="00BF0E37" w:rsidRDefault="00BF0E37" w:rsidP="00BF0E37">
      <w:pPr>
        <w:pStyle w:val="ListParagraph"/>
        <w:numPr>
          <w:ilvl w:val="0"/>
          <w:numId w:val="28"/>
        </w:numPr>
        <w:spacing w:after="0" w:line="240" w:lineRule="auto"/>
        <w:ind w:left="270" w:hanging="270"/>
        <w:jc w:val="both"/>
        <w:rPr>
          <w:rFonts w:ascii="Times New Roman" w:hAnsi="Times New Roman"/>
          <w:sz w:val="24"/>
          <w:szCs w:val="24"/>
        </w:rPr>
      </w:pPr>
      <w:r w:rsidRPr="009E4168">
        <w:rPr>
          <w:rFonts w:ascii="Times New Roman" w:hAnsi="Times New Roman"/>
          <w:sz w:val="24"/>
          <w:szCs w:val="24"/>
        </w:rPr>
        <w:t>The contra</w:t>
      </w:r>
      <w:r>
        <w:rPr>
          <w:rFonts w:ascii="Times New Roman" w:hAnsi="Times New Roman"/>
          <w:sz w:val="24"/>
          <w:szCs w:val="24"/>
        </w:rPr>
        <w:t>ct for the procurement of works was for</w:t>
      </w:r>
      <w:r w:rsidRPr="009E4168">
        <w:rPr>
          <w:rFonts w:ascii="Times New Roman" w:hAnsi="Times New Roman"/>
          <w:sz w:val="24"/>
          <w:szCs w:val="24"/>
        </w:rPr>
        <w:t xml:space="preserve"> some Rs 1</w:t>
      </w:r>
      <w:r>
        <w:rPr>
          <w:rFonts w:ascii="Times New Roman" w:hAnsi="Times New Roman"/>
          <w:sz w:val="24"/>
          <w:szCs w:val="24"/>
        </w:rPr>
        <w:t>85 million.</w:t>
      </w:r>
      <w:r w:rsidRPr="009E4168">
        <w:rPr>
          <w:rFonts w:ascii="Times New Roman" w:hAnsi="Times New Roman"/>
          <w:sz w:val="24"/>
          <w:szCs w:val="24"/>
        </w:rPr>
        <w:t xml:space="preserve"> </w:t>
      </w:r>
      <w:r>
        <w:rPr>
          <w:rFonts w:ascii="Times New Roman" w:hAnsi="Times New Roman"/>
          <w:sz w:val="24"/>
          <w:szCs w:val="24"/>
        </w:rPr>
        <w:t xml:space="preserve">There was no </w:t>
      </w:r>
      <w:r w:rsidRPr="009E4168">
        <w:rPr>
          <w:rFonts w:ascii="Times New Roman" w:hAnsi="Times New Roman"/>
          <w:sz w:val="24"/>
          <w:szCs w:val="24"/>
        </w:rPr>
        <w:t xml:space="preserve">approval of this major contract by the Central Procurement Board </w:t>
      </w:r>
      <w:r>
        <w:rPr>
          <w:rFonts w:ascii="Times New Roman" w:hAnsi="Times New Roman"/>
          <w:sz w:val="24"/>
          <w:szCs w:val="24"/>
        </w:rPr>
        <w:t>although the State Owned Company designated as the Implementing Agency was listed as a public body under the Public Procurement Act</w:t>
      </w:r>
      <w:r w:rsidRPr="009E4168">
        <w:rPr>
          <w:rFonts w:ascii="Times New Roman" w:hAnsi="Times New Roman"/>
          <w:sz w:val="24"/>
          <w:szCs w:val="24"/>
        </w:rPr>
        <w:t xml:space="preserve">. </w:t>
      </w:r>
    </w:p>
    <w:p w:rsidR="00BF0E37" w:rsidRPr="009E4168" w:rsidRDefault="00BF0E37" w:rsidP="00BF0E37">
      <w:pPr>
        <w:pStyle w:val="ListParagraph"/>
        <w:spacing w:line="240" w:lineRule="auto"/>
        <w:ind w:left="270" w:hanging="270"/>
        <w:rPr>
          <w:rFonts w:ascii="Times New Roman" w:hAnsi="Times New Roman"/>
          <w:sz w:val="24"/>
          <w:szCs w:val="24"/>
        </w:rPr>
      </w:pPr>
    </w:p>
    <w:p w:rsidR="00BF0E37" w:rsidRPr="009E4168" w:rsidRDefault="00BF0E37" w:rsidP="00BF0E37">
      <w:pPr>
        <w:pStyle w:val="ListParagraph"/>
        <w:numPr>
          <w:ilvl w:val="0"/>
          <w:numId w:val="28"/>
        </w:numPr>
        <w:spacing w:after="0" w:line="240" w:lineRule="auto"/>
        <w:ind w:left="270" w:hanging="270"/>
        <w:jc w:val="both"/>
        <w:rPr>
          <w:rFonts w:ascii="Times New Roman" w:hAnsi="Times New Roman"/>
          <w:sz w:val="24"/>
          <w:szCs w:val="24"/>
        </w:rPr>
      </w:pPr>
      <w:r w:rsidRPr="009E4168">
        <w:rPr>
          <w:rFonts w:ascii="Times New Roman" w:hAnsi="Times New Roman"/>
          <w:sz w:val="24"/>
          <w:szCs w:val="24"/>
        </w:rPr>
        <w:t>No documen</w:t>
      </w:r>
      <w:r>
        <w:rPr>
          <w:rFonts w:ascii="Times New Roman" w:hAnsi="Times New Roman"/>
          <w:sz w:val="24"/>
          <w:szCs w:val="24"/>
        </w:rPr>
        <w:t>ts were available at</w:t>
      </w:r>
      <w:r w:rsidRPr="009E4168">
        <w:rPr>
          <w:rFonts w:ascii="Times New Roman" w:hAnsi="Times New Roman"/>
          <w:sz w:val="24"/>
          <w:szCs w:val="24"/>
        </w:rPr>
        <w:t xml:space="preserve"> the Ministry regarding </w:t>
      </w:r>
      <w:r>
        <w:rPr>
          <w:rFonts w:ascii="Times New Roman" w:hAnsi="Times New Roman"/>
          <w:sz w:val="24"/>
          <w:szCs w:val="24"/>
        </w:rPr>
        <w:t xml:space="preserve">the </w:t>
      </w:r>
      <w:r w:rsidRPr="009E4168">
        <w:rPr>
          <w:rFonts w:ascii="Times New Roman" w:hAnsi="Times New Roman"/>
          <w:sz w:val="24"/>
          <w:szCs w:val="24"/>
        </w:rPr>
        <w:t>procurement exercise for the main contr</w:t>
      </w:r>
      <w:r>
        <w:rPr>
          <w:rFonts w:ascii="Times New Roman" w:hAnsi="Times New Roman"/>
          <w:sz w:val="24"/>
          <w:szCs w:val="24"/>
        </w:rPr>
        <w:t xml:space="preserve">actor, payment details, and </w:t>
      </w:r>
      <w:r w:rsidRPr="009E4168">
        <w:rPr>
          <w:rFonts w:ascii="Times New Roman" w:hAnsi="Times New Roman"/>
          <w:sz w:val="24"/>
          <w:szCs w:val="24"/>
        </w:rPr>
        <w:t>managing</w:t>
      </w:r>
      <w:r>
        <w:rPr>
          <w:rFonts w:ascii="Times New Roman" w:hAnsi="Times New Roman"/>
          <w:sz w:val="24"/>
          <w:szCs w:val="24"/>
        </w:rPr>
        <w:t xml:space="preserve"> the construction project. The</w:t>
      </w:r>
      <w:r w:rsidRPr="009E4168">
        <w:rPr>
          <w:rFonts w:ascii="Times New Roman" w:hAnsi="Times New Roman"/>
          <w:sz w:val="24"/>
          <w:szCs w:val="24"/>
        </w:rPr>
        <w:t>s</w:t>
      </w:r>
      <w:r>
        <w:rPr>
          <w:rFonts w:ascii="Times New Roman" w:hAnsi="Times New Roman"/>
          <w:sz w:val="24"/>
          <w:szCs w:val="24"/>
        </w:rPr>
        <w:t xml:space="preserve">e included bids, contract, Handing </w:t>
      </w:r>
      <w:proofErr w:type="gramStart"/>
      <w:r>
        <w:rPr>
          <w:rFonts w:ascii="Times New Roman" w:hAnsi="Times New Roman"/>
          <w:sz w:val="24"/>
          <w:szCs w:val="24"/>
        </w:rPr>
        <w:t>Over</w:t>
      </w:r>
      <w:proofErr w:type="gramEnd"/>
      <w:r>
        <w:rPr>
          <w:rFonts w:ascii="Times New Roman" w:hAnsi="Times New Roman"/>
          <w:sz w:val="24"/>
          <w:szCs w:val="24"/>
        </w:rPr>
        <w:t xml:space="preserve"> C</w:t>
      </w:r>
      <w:r w:rsidRPr="009E4168">
        <w:rPr>
          <w:rFonts w:ascii="Times New Roman" w:hAnsi="Times New Roman"/>
          <w:sz w:val="24"/>
          <w:szCs w:val="24"/>
        </w:rPr>
        <w:t xml:space="preserve">ertificate between </w:t>
      </w:r>
      <w:r>
        <w:rPr>
          <w:rFonts w:ascii="Times New Roman" w:hAnsi="Times New Roman"/>
          <w:sz w:val="24"/>
          <w:szCs w:val="24"/>
        </w:rPr>
        <w:t>the State Owned Company and TVCL and Final Accounts</w:t>
      </w:r>
      <w:r w:rsidRPr="009E4168">
        <w:rPr>
          <w:rFonts w:ascii="Times New Roman" w:hAnsi="Times New Roman"/>
          <w:sz w:val="24"/>
          <w:szCs w:val="24"/>
        </w:rPr>
        <w:t>.</w:t>
      </w:r>
    </w:p>
    <w:p w:rsidR="00BF0E37" w:rsidRDefault="00BF0E37" w:rsidP="00BF0E37">
      <w:pPr>
        <w:pStyle w:val="ListParagraph"/>
        <w:spacing w:after="0" w:line="240" w:lineRule="auto"/>
        <w:ind w:left="810" w:hanging="360"/>
        <w:jc w:val="both"/>
        <w:rPr>
          <w:rFonts w:ascii="Times New Roman" w:hAnsi="Times New Roman"/>
          <w:sz w:val="24"/>
          <w:szCs w:val="24"/>
        </w:rPr>
      </w:pPr>
    </w:p>
    <w:p w:rsidR="00BF0E37" w:rsidRPr="006D7ADF" w:rsidRDefault="00BF0E37" w:rsidP="00BF0E37">
      <w:pPr>
        <w:pStyle w:val="ListParagraph"/>
        <w:numPr>
          <w:ilvl w:val="0"/>
          <w:numId w:val="28"/>
        </w:numPr>
        <w:spacing w:after="0" w:line="240" w:lineRule="auto"/>
        <w:ind w:left="270" w:hanging="270"/>
        <w:jc w:val="both"/>
        <w:rPr>
          <w:rFonts w:ascii="Times New Roman" w:hAnsi="Times New Roman"/>
          <w:sz w:val="24"/>
          <w:szCs w:val="24"/>
        </w:rPr>
      </w:pPr>
      <w:r>
        <w:rPr>
          <w:rFonts w:ascii="Times New Roman" w:hAnsi="Times New Roman"/>
          <w:sz w:val="24"/>
          <w:szCs w:val="24"/>
        </w:rPr>
        <w:t xml:space="preserve">As per </w:t>
      </w:r>
      <w:r w:rsidRPr="006D7ADF">
        <w:rPr>
          <w:rFonts w:ascii="Times New Roman" w:hAnsi="Times New Roman"/>
          <w:sz w:val="24"/>
          <w:szCs w:val="24"/>
        </w:rPr>
        <w:t xml:space="preserve">financial statements </w:t>
      </w:r>
      <w:r>
        <w:rPr>
          <w:rFonts w:ascii="Times New Roman" w:hAnsi="Times New Roman"/>
          <w:sz w:val="24"/>
          <w:szCs w:val="24"/>
        </w:rPr>
        <w:t>of</w:t>
      </w:r>
      <w:r w:rsidRPr="006D7ADF">
        <w:rPr>
          <w:rFonts w:ascii="Times New Roman" w:hAnsi="Times New Roman"/>
          <w:sz w:val="24"/>
          <w:szCs w:val="24"/>
        </w:rPr>
        <w:t xml:space="preserve"> TVCL </w:t>
      </w:r>
      <w:r>
        <w:rPr>
          <w:rFonts w:ascii="Times New Roman" w:hAnsi="Times New Roman"/>
          <w:sz w:val="24"/>
          <w:szCs w:val="24"/>
        </w:rPr>
        <w:t xml:space="preserve">for year ended </w:t>
      </w:r>
      <w:r w:rsidRPr="006D7ADF">
        <w:rPr>
          <w:rFonts w:ascii="Times New Roman" w:hAnsi="Times New Roman"/>
          <w:sz w:val="24"/>
          <w:szCs w:val="24"/>
        </w:rPr>
        <w:t>31 December 2013</w:t>
      </w:r>
      <w:r>
        <w:rPr>
          <w:rFonts w:ascii="Times New Roman" w:hAnsi="Times New Roman"/>
          <w:sz w:val="24"/>
          <w:szCs w:val="24"/>
        </w:rPr>
        <w:t>, t</w:t>
      </w:r>
      <w:r w:rsidRPr="006D7ADF">
        <w:rPr>
          <w:rFonts w:ascii="Times New Roman" w:hAnsi="Times New Roman"/>
          <w:sz w:val="24"/>
          <w:szCs w:val="24"/>
        </w:rPr>
        <w:t>he Company has cumulative</w:t>
      </w:r>
      <w:r>
        <w:rPr>
          <w:rFonts w:ascii="Times New Roman" w:hAnsi="Times New Roman"/>
          <w:sz w:val="24"/>
          <w:szCs w:val="24"/>
        </w:rPr>
        <w:t xml:space="preserve"> </w:t>
      </w:r>
      <w:r w:rsidRPr="006D7ADF">
        <w:rPr>
          <w:rFonts w:ascii="Times New Roman" w:hAnsi="Times New Roman"/>
          <w:sz w:val="24"/>
          <w:szCs w:val="24"/>
        </w:rPr>
        <w:t xml:space="preserve">net profits </w:t>
      </w:r>
      <w:r>
        <w:rPr>
          <w:rFonts w:ascii="Times New Roman" w:hAnsi="Times New Roman"/>
          <w:sz w:val="24"/>
          <w:szCs w:val="24"/>
        </w:rPr>
        <w:t>(</w:t>
      </w:r>
      <w:r w:rsidRPr="006D7ADF">
        <w:rPr>
          <w:rFonts w:ascii="Times New Roman" w:hAnsi="Times New Roman"/>
          <w:sz w:val="24"/>
          <w:szCs w:val="24"/>
        </w:rPr>
        <w:t>retained earnings</w:t>
      </w:r>
      <w:r>
        <w:rPr>
          <w:rFonts w:ascii="Times New Roman" w:hAnsi="Times New Roman"/>
          <w:sz w:val="24"/>
          <w:szCs w:val="24"/>
        </w:rPr>
        <w:t>)</w:t>
      </w:r>
      <w:r w:rsidRPr="006D7ADF">
        <w:rPr>
          <w:rFonts w:ascii="Times New Roman" w:hAnsi="Times New Roman"/>
          <w:sz w:val="24"/>
          <w:szCs w:val="24"/>
        </w:rPr>
        <w:t xml:space="preserve"> of Rs 29.8 million</w:t>
      </w:r>
      <w:r>
        <w:rPr>
          <w:rFonts w:ascii="Times New Roman" w:hAnsi="Times New Roman"/>
          <w:sz w:val="24"/>
          <w:szCs w:val="24"/>
        </w:rPr>
        <w:t>,</w:t>
      </w:r>
      <w:r w:rsidRPr="006D7ADF">
        <w:rPr>
          <w:rFonts w:ascii="Times New Roman" w:hAnsi="Times New Roman"/>
          <w:sz w:val="24"/>
          <w:szCs w:val="24"/>
        </w:rPr>
        <w:t xml:space="preserve"> </w:t>
      </w:r>
      <w:r>
        <w:rPr>
          <w:rFonts w:ascii="Times New Roman" w:hAnsi="Times New Roman"/>
          <w:sz w:val="24"/>
          <w:szCs w:val="24"/>
        </w:rPr>
        <w:t>resulting mainly from</w:t>
      </w:r>
      <w:r w:rsidRPr="006D7ADF">
        <w:rPr>
          <w:rFonts w:ascii="Times New Roman" w:hAnsi="Times New Roman"/>
          <w:sz w:val="24"/>
          <w:szCs w:val="24"/>
        </w:rPr>
        <w:t xml:space="preserve"> </w:t>
      </w:r>
      <w:r w:rsidRPr="006D7ADF">
        <w:rPr>
          <w:rFonts w:ascii="Times New Roman" w:hAnsi="Times New Roman"/>
          <w:sz w:val="24"/>
          <w:szCs w:val="24"/>
        </w:rPr>
        <w:lastRenderedPageBreak/>
        <w:t xml:space="preserve">interests received </w:t>
      </w:r>
      <w:proofErr w:type="spellStart"/>
      <w:r w:rsidRPr="006D7ADF">
        <w:rPr>
          <w:rFonts w:ascii="Times New Roman" w:hAnsi="Times New Roman"/>
          <w:sz w:val="24"/>
          <w:szCs w:val="24"/>
        </w:rPr>
        <w:t>total</w:t>
      </w:r>
      <w:r>
        <w:rPr>
          <w:rFonts w:ascii="Times New Roman" w:hAnsi="Times New Roman"/>
          <w:sz w:val="24"/>
          <w:szCs w:val="24"/>
        </w:rPr>
        <w:t>l</w:t>
      </w:r>
      <w:r w:rsidRPr="006D7ADF">
        <w:rPr>
          <w:rFonts w:ascii="Times New Roman" w:hAnsi="Times New Roman"/>
          <w:sz w:val="24"/>
          <w:szCs w:val="24"/>
        </w:rPr>
        <w:t>ing</w:t>
      </w:r>
      <w:proofErr w:type="spellEnd"/>
      <w:r w:rsidRPr="006D7ADF">
        <w:rPr>
          <w:rFonts w:ascii="Times New Roman" w:hAnsi="Times New Roman"/>
          <w:sz w:val="24"/>
          <w:szCs w:val="24"/>
        </w:rPr>
        <w:t xml:space="preserve"> some Rs 71.5 million.</w:t>
      </w:r>
      <w:r>
        <w:rPr>
          <w:rFonts w:ascii="Times New Roman" w:hAnsi="Times New Roman"/>
          <w:sz w:val="24"/>
          <w:szCs w:val="24"/>
        </w:rPr>
        <w:t xml:space="preserve"> However, details and nature of the </w:t>
      </w:r>
      <w:r w:rsidRPr="006D7ADF">
        <w:rPr>
          <w:rFonts w:ascii="Times New Roman" w:hAnsi="Times New Roman"/>
          <w:sz w:val="24"/>
          <w:szCs w:val="24"/>
        </w:rPr>
        <w:t xml:space="preserve">Debtors figure </w:t>
      </w:r>
      <w:r>
        <w:rPr>
          <w:rFonts w:ascii="Times New Roman" w:hAnsi="Times New Roman"/>
          <w:sz w:val="24"/>
          <w:szCs w:val="24"/>
        </w:rPr>
        <w:t>of Rs 27.8 million</w:t>
      </w:r>
      <w:r w:rsidRPr="006D7ADF">
        <w:rPr>
          <w:rFonts w:ascii="Times New Roman" w:hAnsi="Times New Roman"/>
          <w:sz w:val="24"/>
          <w:szCs w:val="24"/>
        </w:rPr>
        <w:t xml:space="preserve"> </w:t>
      </w:r>
      <w:r>
        <w:rPr>
          <w:rFonts w:ascii="Times New Roman" w:hAnsi="Times New Roman"/>
          <w:sz w:val="24"/>
          <w:szCs w:val="24"/>
        </w:rPr>
        <w:t>could not be ascertained.</w:t>
      </w:r>
    </w:p>
    <w:p w:rsidR="00BF0E37" w:rsidRPr="006D7ADF" w:rsidRDefault="00BF0E37" w:rsidP="00BF0E37">
      <w:pPr>
        <w:pStyle w:val="ListParagraph"/>
        <w:spacing w:line="240" w:lineRule="auto"/>
        <w:ind w:left="810" w:hanging="360"/>
        <w:rPr>
          <w:rFonts w:ascii="Times New Roman" w:hAnsi="Times New Roman"/>
          <w:sz w:val="24"/>
          <w:szCs w:val="24"/>
        </w:rPr>
      </w:pPr>
    </w:p>
    <w:p w:rsidR="00BF0E37" w:rsidRDefault="00BF0E37" w:rsidP="00BF0E37">
      <w:pPr>
        <w:pStyle w:val="ListParagraph"/>
        <w:numPr>
          <w:ilvl w:val="0"/>
          <w:numId w:val="28"/>
        </w:numPr>
        <w:spacing w:after="0" w:line="240" w:lineRule="auto"/>
        <w:ind w:left="270" w:hanging="270"/>
        <w:jc w:val="both"/>
        <w:rPr>
          <w:rFonts w:ascii="Times New Roman" w:hAnsi="Times New Roman"/>
          <w:sz w:val="24"/>
          <w:szCs w:val="24"/>
        </w:rPr>
      </w:pPr>
      <w:r w:rsidRPr="009E4168">
        <w:rPr>
          <w:rFonts w:ascii="Times New Roman" w:hAnsi="Times New Roman"/>
          <w:sz w:val="24"/>
          <w:szCs w:val="24"/>
        </w:rPr>
        <w:t xml:space="preserve">Lease terms for rental were of </w:t>
      </w:r>
      <w:r>
        <w:rPr>
          <w:rFonts w:ascii="Times New Roman" w:hAnsi="Times New Roman"/>
          <w:sz w:val="24"/>
          <w:szCs w:val="24"/>
        </w:rPr>
        <w:t>12</w:t>
      </w:r>
      <w:r w:rsidRPr="009E4168">
        <w:rPr>
          <w:rFonts w:ascii="Times New Roman" w:hAnsi="Times New Roman"/>
          <w:sz w:val="24"/>
          <w:szCs w:val="24"/>
        </w:rPr>
        <w:t xml:space="preserve"> months renewable upon mutual agreement. Given that these villages were set up to help local art</w:t>
      </w:r>
      <w:r>
        <w:rPr>
          <w:rFonts w:ascii="Times New Roman" w:hAnsi="Times New Roman"/>
          <w:sz w:val="24"/>
          <w:szCs w:val="24"/>
        </w:rPr>
        <w:t xml:space="preserve">isans by leasing out </w:t>
      </w:r>
      <w:proofErr w:type="gramStart"/>
      <w:r>
        <w:rPr>
          <w:rFonts w:ascii="Times New Roman" w:hAnsi="Times New Roman"/>
          <w:sz w:val="24"/>
          <w:szCs w:val="24"/>
        </w:rPr>
        <w:t>space,</w:t>
      </w:r>
      <w:proofErr w:type="gramEnd"/>
      <w:r w:rsidRPr="009E4168">
        <w:rPr>
          <w:rFonts w:ascii="Times New Roman" w:hAnsi="Times New Roman"/>
          <w:sz w:val="24"/>
          <w:szCs w:val="24"/>
        </w:rPr>
        <w:t xml:space="preserve"> little has been collected in terms of rental of shops. </w:t>
      </w:r>
    </w:p>
    <w:p w:rsidR="00BF0E37" w:rsidRPr="009E4168" w:rsidRDefault="00BF0E37" w:rsidP="00BF0E37">
      <w:pPr>
        <w:pStyle w:val="ListParagraph"/>
        <w:spacing w:line="240" w:lineRule="auto"/>
        <w:ind w:hanging="360"/>
        <w:rPr>
          <w:rFonts w:ascii="Times New Roman" w:hAnsi="Times New Roman"/>
          <w:sz w:val="24"/>
          <w:szCs w:val="24"/>
        </w:rPr>
      </w:pPr>
    </w:p>
    <w:p w:rsidR="00BF0E37" w:rsidRPr="006D7ADF" w:rsidRDefault="00BF0E37" w:rsidP="00BF0E37">
      <w:pPr>
        <w:pStyle w:val="ListParagraph"/>
        <w:spacing w:after="0" w:line="240" w:lineRule="auto"/>
        <w:ind w:hanging="360"/>
        <w:jc w:val="both"/>
        <w:rPr>
          <w:rFonts w:ascii="Times New Roman" w:hAnsi="Times New Roman"/>
          <w:sz w:val="24"/>
          <w:szCs w:val="24"/>
        </w:rPr>
      </w:pPr>
    </w:p>
    <w:p w:rsidR="00BF0E37" w:rsidRPr="00296647" w:rsidRDefault="00BF0E37" w:rsidP="00BF0E37">
      <w:pPr>
        <w:tabs>
          <w:tab w:val="left" w:pos="90"/>
        </w:tabs>
        <w:spacing w:after="0" w:line="240" w:lineRule="auto"/>
        <w:jc w:val="both"/>
        <w:rPr>
          <w:rFonts w:ascii="Times New Roman" w:hAnsi="Times New Roman"/>
          <w:b/>
          <w:i/>
          <w:sz w:val="24"/>
          <w:szCs w:val="24"/>
          <w:u w:val="single"/>
        </w:rPr>
      </w:pPr>
      <w:bookmarkStart w:id="0" w:name="_GoBack"/>
      <w:bookmarkEnd w:id="0"/>
      <w:proofErr w:type="gramStart"/>
      <w:r>
        <w:rPr>
          <w:rFonts w:ascii="Times New Roman" w:hAnsi="Times New Roman"/>
          <w:b/>
          <w:i/>
          <w:sz w:val="24"/>
          <w:szCs w:val="24"/>
        </w:rPr>
        <w:t xml:space="preserve">6.1.3  </w:t>
      </w:r>
      <w:proofErr w:type="spellStart"/>
      <w:r w:rsidRPr="00296647">
        <w:rPr>
          <w:rFonts w:ascii="Times New Roman" w:hAnsi="Times New Roman"/>
          <w:b/>
          <w:i/>
          <w:sz w:val="24"/>
          <w:szCs w:val="24"/>
        </w:rPr>
        <w:t>Mahebourg</w:t>
      </w:r>
      <w:proofErr w:type="spellEnd"/>
      <w:proofErr w:type="gramEnd"/>
      <w:r w:rsidRPr="00296647">
        <w:rPr>
          <w:rFonts w:ascii="Times New Roman" w:hAnsi="Times New Roman"/>
          <w:b/>
          <w:i/>
          <w:sz w:val="24"/>
          <w:szCs w:val="24"/>
        </w:rPr>
        <w:t xml:space="preserve"> Tourist Village</w:t>
      </w:r>
    </w:p>
    <w:p w:rsidR="00BF0E37" w:rsidRPr="006D7ADF" w:rsidRDefault="00BF0E37" w:rsidP="00BF0E37">
      <w:pPr>
        <w:tabs>
          <w:tab w:val="left" w:pos="90"/>
        </w:tabs>
        <w:spacing w:after="0" w:line="240" w:lineRule="auto"/>
        <w:jc w:val="both"/>
        <w:rPr>
          <w:rFonts w:ascii="Times New Roman" w:hAnsi="Times New Roman"/>
          <w:sz w:val="24"/>
          <w:szCs w:val="24"/>
        </w:rPr>
      </w:pPr>
    </w:p>
    <w:p w:rsidR="00BF0E37" w:rsidRPr="006D7ADF" w:rsidRDefault="00BF0E37" w:rsidP="00BF0E37">
      <w:pPr>
        <w:tabs>
          <w:tab w:val="left" w:pos="90"/>
        </w:tabs>
        <w:spacing w:after="0" w:line="240" w:lineRule="auto"/>
        <w:jc w:val="both"/>
        <w:rPr>
          <w:rFonts w:ascii="Times New Roman" w:hAnsi="Times New Roman"/>
          <w:sz w:val="24"/>
          <w:szCs w:val="24"/>
        </w:rPr>
      </w:pPr>
      <w:r w:rsidRPr="006D7ADF">
        <w:rPr>
          <w:rFonts w:ascii="Times New Roman" w:hAnsi="Times New Roman"/>
          <w:sz w:val="24"/>
          <w:szCs w:val="24"/>
        </w:rPr>
        <w:t xml:space="preserve">In addition to the BMTV, </w:t>
      </w:r>
      <w:r>
        <w:rPr>
          <w:rFonts w:ascii="Times New Roman" w:hAnsi="Times New Roman"/>
          <w:sz w:val="24"/>
          <w:szCs w:val="24"/>
        </w:rPr>
        <w:t xml:space="preserve">the Company has also invested Rs 5.9 million for the setting up of the </w:t>
      </w:r>
      <w:proofErr w:type="spellStart"/>
      <w:r w:rsidRPr="006D7ADF">
        <w:rPr>
          <w:rFonts w:ascii="Times New Roman" w:hAnsi="Times New Roman"/>
          <w:sz w:val="24"/>
          <w:szCs w:val="24"/>
        </w:rPr>
        <w:t>Mahebourg</w:t>
      </w:r>
      <w:proofErr w:type="spellEnd"/>
      <w:r w:rsidRPr="006D7ADF">
        <w:rPr>
          <w:rFonts w:ascii="Times New Roman" w:hAnsi="Times New Roman"/>
          <w:sz w:val="24"/>
          <w:szCs w:val="24"/>
        </w:rPr>
        <w:t xml:space="preserve"> T</w:t>
      </w:r>
      <w:r>
        <w:rPr>
          <w:rFonts w:ascii="Times New Roman" w:hAnsi="Times New Roman"/>
          <w:sz w:val="24"/>
          <w:szCs w:val="24"/>
        </w:rPr>
        <w:t>ourist Village (MTV). The MTV P</w:t>
      </w:r>
      <w:r w:rsidRPr="006D7ADF">
        <w:rPr>
          <w:rFonts w:ascii="Times New Roman" w:hAnsi="Times New Roman"/>
          <w:sz w:val="24"/>
          <w:szCs w:val="24"/>
        </w:rPr>
        <w:t xml:space="preserve">roject was to cater for 11 individual craftsmen and two associations from south of the island. </w:t>
      </w:r>
    </w:p>
    <w:p w:rsidR="00BF0E37" w:rsidRDefault="00BF0E37" w:rsidP="00BF0E37">
      <w:pPr>
        <w:tabs>
          <w:tab w:val="left" w:pos="90"/>
        </w:tabs>
        <w:spacing w:after="0" w:line="240" w:lineRule="auto"/>
        <w:jc w:val="both"/>
        <w:rPr>
          <w:rFonts w:ascii="Times New Roman" w:hAnsi="Times New Roman"/>
          <w:sz w:val="24"/>
          <w:szCs w:val="24"/>
        </w:rPr>
      </w:pPr>
    </w:p>
    <w:p w:rsidR="00BF0E37" w:rsidRPr="006D7ADF" w:rsidRDefault="00BF0E37" w:rsidP="00BF0E37">
      <w:pPr>
        <w:tabs>
          <w:tab w:val="left" w:pos="90"/>
        </w:tabs>
        <w:spacing w:after="0" w:line="240" w:lineRule="auto"/>
        <w:jc w:val="both"/>
        <w:rPr>
          <w:rFonts w:ascii="Times New Roman" w:hAnsi="Times New Roman"/>
          <w:sz w:val="24"/>
          <w:szCs w:val="24"/>
        </w:rPr>
      </w:pPr>
    </w:p>
    <w:p w:rsidR="00BF0E37" w:rsidRPr="003B02B9" w:rsidRDefault="00BF0E37" w:rsidP="00BF0E37">
      <w:pPr>
        <w:tabs>
          <w:tab w:val="left" w:pos="90"/>
        </w:tabs>
        <w:spacing w:after="0" w:line="240" w:lineRule="auto"/>
        <w:jc w:val="both"/>
        <w:rPr>
          <w:rFonts w:ascii="Times New Roman" w:hAnsi="Times New Roman"/>
          <w:b/>
          <w:i/>
          <w:sz w:val="24"/>
          <w:szCs w:val="24"/>
        </w:rPr>
      </w:pPr>
      <w:r>
        <w:rPr>
          <w:rFonts w:ascii="Times New Roman" w:hAnsi="Times New Roman"/>
          <w:b/>
          <w:i/>
          <w:sz w:val="24"/>
          <w:szCs w:val="24"/>
        </w:rPr>
        <w:t>Observations</w:t>
      </w:r>
    </w:p>
    <w:p w:rsidR="00BF0E37" w:rsidRPr="006D7ADF" w:rsidRDefault="00BF0E37" w:rsidP="00BF0E37">
      <w:pPr>
        <w:pStyle w:val="ListParagraph"/>
        <w:tabs>
          <w:tab w:val="left" w:pos="90"/>
        </w:tabs>
        <w:spacing w:after="0" w:line="240" w:lineRule="auto"/>
        <w:ind w:left="0"/>
        <w:jc w:val="both"/>
        <w:rPr>
          <w:rFonts w:ascii="Times New Roman" w:hAnsi="Times New Roman"/>
          <w:sz w:val="24"/>
          <w:szCs w:val="24"/>
        </w:rPr>
      </w:pPr>
    </w:p>
    <w:p w:rsidR="00BF0E37" w:rsidRPr="006D7ADF" w:rsidRDefault="00BF0E37" w:rsidP="00BF0E37">
      <w:pPr>
        <w:pStyle w:val="ListParagraph"/>
        <w:numPr>
          <w:ilvl w:val="0"/>
          <w:numId w:val="27"/>
        </w:numPr>
        <w:tabs>
          <w:tab w:val="left" w:pos="90"/>
        </w:tabs>
        <w:spacing w:after="0" w:line="240" w:lineRule="auto"/>
        <w:ind w:left="360"/>
        <w:jc w:val="both"/>
        <w:rPr>
          <w:rFonts w:ascii="Times New Roman" w:hAnsi="Times New Roman"/>
          <w:sz w:val="24"/>
          <w:szCs w:val="24"/>
        </w:rPr>
      </w:pPr>
      <w:r w:rsidRPr="006D7ADF">
        <w:rPr>
          <w:rFonts w:ascii="Times New Roman" w:hAnsi="Times New Roman"/>
          <w:sz w:val="24"/>
          <w:szCs w:val="24"/>
        </w:rPr>
        <w:t xml:space="preserve">The total figure for investment in </w:t>
      </w:r>
      <w:r>
        <w:rPr>
          <w:rFonts w:ascii="Times New Roman" w:hAnsi="Times New Roman"/>
          <w:sz w:val="24"/>
          <w:szCs w:val="24"/>
        </w:rPr>
        <w:t xml:space="preserve">MTV Project </w:t>
      </w:r>
      <w:r w:rsidRPr="006D7ADF">
        <w:rPr>
          <w:rFonts w:ascii="Times New Roman" w:hAnsi="Times New Roman"/>
          <w:sz w:val="24"/>
          <w:szCs w:val="24"/>
        </w:rPr>
        <w:t xml:space="preserve">of Rs 5.9 million as per </w:t>
      </w:r>
      <w:r>
        <w:rPr>
          <w:rFonts w:ascii="Times New Roman" w:hAnsi="Times New Roman"/>
          <w:sz w:val="24"/>
          <w:szCs w:val="24"/>
        </w:rPr>
        <w:t>the Company’s</w:t>
      </w:r>
      <w:r w:rsidRPr="006D7ADF">
        <w:rPr>
          <w:rFonts w:ascii="Times New Roman" w:hAnsi="Times New Roman"/>
          <w:sz w:val="24"/>
          <w:szCs w:val="24"/>
        </w:rPr>
        <w:t xml:space="preserve"> financial statements for the year ended 31 December 2011 was </w:t>
      </w:r>
      <w:r>
        <w:rPr>
          <w:rFonts w:ascii="Times New Roman" w:hAnsi="Times New Roman"/>
          <w:sz w:val="24"/>
          <w:szCs w:val="24"/>
        </w:rPr>
        <w:t>written off as a loss.</w:t>
      </w:r>
    </w:p>
    <w:p w:rsidR="00BF0E37" w:rsidRPr="006D7ADF" w:rsidRDefault="00BF0E37" w:rsidP="00BF0E37">
      <w:pPr>
        <w:pStyle w:val="ListParagraph"/>
        <w:spacing w:after="0" w:line="240" w:lineRule="auto"/>
        <w:ind w:left="360" w:hanging="360"/>
        <w:jc w:val="both"/>
        <w:rPr>
          <w:rFonts w:ascii="Times New Roman" w:hAnsi="Times New Roman"/>
          <w:sz w:val="24"/>
          <w:szCs w:val="24"/>
        </w:rPr>
      </w:pPr>
    </w:p>
    <w:p w:rsidR="00BF0E37" w:rsidRDefault="00BF0E37" w:rsidP="00BF0E37">
      <w:pPr>
        <w:pStyle w:val="ListParagraph"/>
        <w:numPr>
          <w:ilvl w:val="0"/>
          <w:numId w:val="27"/>
        </w:numPr>
        <w:spacing w:after="0" w:line="240" w:lineRule="auto"/>
        <w:ind w:left="360"/>
        <w:jc w:val="both"/>
        <w:rPr>
          <w:rFonts w:ascii="Times New Roman" w:hAnsi="Times New Roman"/>
          <w:sz w:val="24"/>
          <w:szCs w:val="24"/>
        </w:rPr>
      </w:pPr>
      <w:r>
        <w:rPr>
          <w:rFonts w:ascii="Times New Roman" w:hAnsi="Times New Roman"/>
          <w:sz w:val="24"/>
          <w:szCs w:val="24"/>
        </w:rPr>
        <w:t>For both projects, s</w:t>
      </w:r>
      <w:r w:rsidRPr="00182671">
        <w:rPr>
          <w:rFonts w:ascii="Times New Roman" w:hAnsi="Times New Roman"/>
          <w:sz w:val="24"/>
          <w:szCs w:val="24"/>
        </w:rPr>
        <w:t xml:space="preserve">ignificant Government funds and resources of some Rs 170 million </w:t>
      </w:r>
      <w:r>
        <w:rPr>
          <w:rFonts w:ascii="Times New Roman" w:hAnsi="Times New Roman"/>
          <w:sz w:val="24"/>
          <w:szCs w:val="24"/>
        </w:rPr>
        <w:t xml:space="preserve">were not properly </w:t>
      </w:r>
      <w:r w:rsidRPr="00182671">
        <w:rPr>
          <w:rFonts w:ascii="Times New Roman" w:hAnsi="Times New Roman"/>
          <w:sz w:val="24"/>
          <w:szCs w:val="24"/>
        </w:rPr>
        <w:t>managed. Public funds have also been tied up in these unutilized assets for more than four years now</w:t>
      </w:r>
      <w:r>
        <w:rPr>
          <w:rFonts w:ascii="Times New Roman" w:hAnsi="Times New Roman"/>
          <w:sz w:val="24"/>
          <w:szCs w:val="24"/>
        </w:rPr>
        <w:t>.</w:t>
      </w:r>
    </w:p>
    <w:p w:rsidR="00BF0E37" w:rsidRDefault="00BF0E37" w:rsidP="00BF0E37">
      <w:pPr>
        <w:pStyle w:val="ListParagraph"/>
        <w:spacing w:after="0" w:line="240" w:lineRule="auto"/>
        <w:ind w:left="360"/>
        <w:jc w:val="both"/>
        <w:rPr>
          <w:rFonts w:ascii="Times New Roman" w:hAnsi="Times New Roman"/>
          <w:sz w:val="24"/>
          <w:szCs w:val="24"/>
        </w:rPr>
      </w:pPr>
    </w:p>
    <w:p w:rsidR="00BF0E37" w:rsidRDefault="00BF0E37" w:rsidP="00BF0E37">
      <w:pPr>
        <w:pStyle w:val="ListParagraph"/>
        <w:spacing w:after="0" w:line="240" w:lineRule="auto"/>
        <w:ind w:left="360"/>
        <w:jc w:val="both"/>
        <w:rPr>
          <w:rFonts w:ascii="Times New Roman" w:hAnsi="Times New Roman"/>
          <w:sz w:val="24"/>
          <w:szCs w:val="24"/>
        </w:rPr>
      </w:pPr>
    </w:p>
    <w:p w:rsidR="00BF0E37" w:rsidRDefault="00BF0E37" w:rsidP="00BF0E37">
      <w:pPr>
        <w:spacing w:line="240" w:lineRule="auto"/>
        <w:rPr>
          <w:rFonts w:ascii="Times New Roman" w:hAnsi="Times New Roman"/>
          <w:b/>
          <w:i/>
          <w:sz w:val="24"/>
        </w:rPr>
      </w:pPr>
      <w:r w:rsidRPr="00A75325">
        <w:rPr>
          <w:rFonts w:ascii="Times New Roman" w:hAnsi="Times New Roman"/>
          <w:b/>
          <w:i/>
          <w:sz w:val="24"/>
        </w:rPr>
        <w:t>Ministry’s Reply</w:t>
      </w:r>
    </w:p>
    <w:p w:rsidR="00BF0E37" w:rsidRDefault="00BF0E37" w:rsidP="00BF0E37">
      <w:pPr>
        <w:pStyle w:val="ListParagraph"/>
        <w:numPr>
          <w:ilvl w:val="0"/>
          <w:numId w:val="27"/>
        </w:numPr>
        <w:spacing w:line="240" w:lineRule="auto"/>
        <w:ind w:left="360"/>
        <w:jc w:val="both"/>
        <w:rPr>
          <w:rFonts w:ascii="Times New Roman" w:hAnsi="Times New Roman"/>
          <w:sz w:val="24"/>
        </w:rPr>
      </w:pPr>
      <w:r w:rsidRPr="00F74436">
        <w:rPr>
          <w:rFonts w:ascii="Times New Roman" w:hAnsi="Times New Roman"/>
          <w:sz w:val="24"/>
        </w:rPr>
        <w:t xml:space="preserve">In </w:t>
      </w:r>
      <w:r>
        <w:rPr>
          <w:rFonts w:ascii="Times New Roman" w:hAnsi="Times New Roman"/>
          <w:sz w:val="24"/>
        </w:rPr>
        <w:t xml:space="preserve">May 2007, Government was informed </w:t>
      </w:r>
      <w:r w:rsidRPr="00F74436">
        <w:rPr>
          <w:rFonts w:ascii="Times New Roman" w:hAnsi="Times New Roman"/>
          <w:sz w:val="24"/>
        </w:rPr>
        <w:t xml:space="preserve">that there was no need for a feasibility study given that the Belle Mare region is surrounded by hotels and the site is easily accessible to tourists as per criteria established. </w:t>
      </w:r>
    </w:p>
    <w:p w:rsidR="00BF0E37" w:rsidRPr="00F74436" w:rsidRDefault="00BF0E37" w:rsidP="00BF0E37">
      <w:pPr>
        <w:pStyle w:val="ListParagraph"/>
        <w:spacing w:line="240" w:lineRule="auto"/>
        <w:ind w:left="360"/>
        <w:jc w:val="both"/>
        <w:rPr>
          <w:rFonts w:ascii="Times New Roman" w:hAnsi="Times New Roman"/>
          <w:sz w:val="24"/>
        </w:rPr>
      </w:pPr>
    </w:p>
    <w:p w:rsidR="00BF0E37" w:rsidRDefault="00BF0E37" w:rsidP="00BF0E37">
      <w:pPr>
        <w:pStyle w:val="ListParagraph"/>
        <w:numPr>
          <w:ilvl w:val="0"/>
          <w:numId w:val="27"/>
        </w:numPr>
        <w:spacing w:line="240" w:lineRule="auto"/>
        <w:ind w:left="360"/>
        <w:jc w:val="both"/>
        <w:rPr>
          <w:rFonts w:ascii="Times New Roman" w:hAnsi="Times New Roman"/>
          <w:sz w:val="24"/>
        </w:rPr>
      </w:pPr>
      <w:r w:rsidRPr="00A75325">
        <w:rPr>
          <w:rFonts w:ascii="Times New Roman" w:hAnsi="Times New Roman"/>
          <w:sz w:val="24"/>
        </w:rPr>
        <w:t>All the Directors of the TVCL had resigned. A new Board has recently been constituted. One of the responsibilities of the Board will be to look into the future of Belle Mare Village, including the possibility of transferring all assets to an appropriate Government owned entity or disposing same through open bidding exercise.</w:t>
      </w:r>
    </w:p>
    <w:p w:rsidR="001203F1" w:rsidRDefault="001203F1" w:rsidP="001203F1">
      <w:pPr>
        <w:pStyle w:val="ListParagraph"/>
        <w:spacing w:line="240" w:lineRule="auto"/>
        <w:ind w:left="360"/>
        <w:jc w:val="both"/>
        <w:rPr>
          <w:rFonts w:ascii="Times New Roman" w:hAnsi="Times New Roman"/>
          <w:sz w:val="24"/>
        </w:rPr>
      </w:pPr>
    </w:p>
    <w:p w:rsidR="001203F1" w:rsidRDefault="001203F1" w:rsidP="001203F1">
      <w:pPr>
        <w:pStyle w:val="ListParagraph"/>
        <w:spacing w:line="240" w:lineRule="auto"/>
        <w:ind w:left="360"/>
        <w:jc w:val="both"/>
        <w:rPr>
          <w:rFonts w:ascii="Times New Roman" w:hAnsi="Times New Roman"/>
          <w:sz w:val="24"/>
        </w:rPr>
      </w:pPr>
    </w:p>
    <w:p w:rsidR="00BF0E37" w:rsidRDefault="00BF0E37">
      <w:pPr>
        <w:rPr>
          <w:rFonts w:ascii="Times New Roman" w:hAnsi="Times New Roman"/>
          <w:sz w:val="24"/>
        </w:rPr>
      </w:pPr>
      <w:r>
        <w:rPr>
          <w:rFonts w:ascii="Times New Roman" w:hAnsi="Times New Roman"/>
          <w:sz w:val="24"/>
        </w:rPr>
        <w:br w:type="page"/>
      </w:r>
    </w:p>
    <w:p w:rsidR="005C1548" w:rsidRPr="005C1548" w:rsidRDefault="005C1548" w:rsidP="005C1548">
      <w:pPr>
        <w:spacing w:after="0" w:line="240" w:lineRule="auto"/>
        <w:rPr>
          <w:rFonts w:ascii="Times New Roman" w:eastAsia="Times New Roman" w:hAnsi="Times New Roman"/>
          <w:b/>
          <w:sz w:val="32"/>
          <w:szCs w:val="32"/>
          <w:lang w:val="en-GB"/>
        </w:rPr>
      </w:pPr>
      <w:r w:rsidRPr="005C1548">
        <w:rPr>
          <w:rFonts w:ascii="Times New Roman" w:eastAsia="Times New Roman" w:hAnsi="Times New Roman"/>
          <w:b/>
          <w:sz w:val="32"/>
          <w:szCs w:val="32"/>
          <w:lang w:val="en-GB"/>
        </w:rPr>
        <w:lastRenderedPageBreak/>
        <w:t>Mauritius Revenue Authority</w:t>
      </w:r>
    </w:p>
    <w:p w:rsidR="005C1548" w:rsidRPr="0099755F" w:rsidRDefault="005C1548" w:rsidP="005C1548">
      <w:pPr>
        <w:spacing w:after="0" w:line="240" w:lineRule="auto"/>
        <w:rPr>
          <w:rFonts w:ascii="Times New Roman" w:eastAsia="Times New Roman" w:hAnsi="Times New Roman"/>
          <w:lang w:val="en-GB"/>
        </w:rPr>
      </w:pPr>
    </w:p>
    <w:p w:rsidR="005C1548" w:rsidRPr="0099755F" w:rsidRDefault="005C1548" w:rsidP="005C1548">
      <w:pPr>
        <w:spacing w:after="0" w:line="240" w:lineRule="auto"/>
        <w:rPr>
          <w:rFonts w:ascii="Times New Roman" w:eastAsia="Times New Roman" w:hAnsi="Times New Roman"/>
          <w:lang w:val="en-GB"/>
        </w:rPr>
      </w:pPr>
    </w:p>
    <w:p w:rsidR="005C1548" w:rsidRDefault="005C1548" w:rsidP="005C1548">
      <w:pPr>
        <w:spacing w:after="0" w:line="240" w:lineRule="auto"/>
        <w:rPr>
          <w:rFonts w:ascii="Times New Roman" w:eastAsia="Times New Roman" w:hAnsi="Times New Roman"/>
          <w:b/>
          <w:sz w:val="28"/>
          <w:szCs w:val="28"/>
          <w:lang w:val="en-GB"/>
        </w:rPr>
      </w:pPr>
      <w:r w:rsidRPr="005C1548">
        <w:rPr>
          <w:rFonts w:ascii="Times New Roman" w:eastAsia="Times New Roman" w:hAnsi="Times New Roman"/>
          <w:b/>
          <w:sz w:val="28"/>
          <w:szCs w:val="28"/>
          <w:lang w:val="en-GB"/>
        </w:rPr>
        <w:t>Customs</w:t>
      </w:r>
    </w:p>
    <w:p w:rsidR="005C1548" w:rsidRPr="0099755F" w:rsidRDefault="005C1548" w:rsidP="005C1548">
      <w:pPr>
        <w:spacing w:after="0" w:line="240" w:lineRule="auto"/>
        <w:rPr>
          <w:rFonts w:ascii="Times New Roman" w:eastAsia="Times New Roman" w:hAnsi="Times New Roman"/>
          <w:lang w:val="en-GB"/>
        </w:rPr>
      </w:pPr>
    </w:p>
    <w:p w:rsidR="005C1548" w:rsidRPr="0099755F" w:rsidRDefault="005C1548" w:rsidP="005C1548">
      <w:pPr>
        <w:spacing w:after="0" w:line="240" w:lineRule="auto"/>
        <w:rPr>
          <w:rFonts w:ascii="Times New Roman" w:eastAsia="Times New Roman" w:hAnsi="Times New Roman"/>
          <w:lang w:val="en-GB"/>
        </w:rPr>
      </w:pPr>
    </w:p>
    <w:p w:rsidR="005C1548" w:rsidRDefault="00BF0E37" w:rsidP="005C1548">
      <w:pPr>
        <w:spacing w:after="0" w:line="240" w:lineRule="auto"/>
        <w:jc w:val="both"/>
        <w:rPr>
          <w:rFonts w:ascii="Times New Roman" w:hAnsi="Times New Roman"/>
          <w:b/>
          <w:sz w:val="24"/>
          <w:szCs w:val="24"/>
        </w:rPr>
      </w:pPr>
      <w:proofErr w:type="gramStart"/>
      <w:r>
        <w:rPr>
          <w:rFonts w:ascii="Times New Roman" w:hAnsi="Times New Roman"/>
          <w:b/>
          <w:sz w:val="24"/>
          <w:szCs w:val="24"/>
        </w:rPr>
        <w:t>6.</w:t>
      </w:r>
      <w:r w:rsidR="0025496D">
        <w:rPr>
          <w:rFonts w:ascii="Times New Roman" w:hAnsi="Times New Roman"/>
          <w:b/>
          <w:sz w:val="24"/>
          <w:szCs w:val="24"/>
        </w:rPr>
        <w:t>2</w:t>
      </w:r>
      <w:r w:rsidR="00BD5EE8">
        <w:rPr>
          <w:rFonts w:ascii="Times New Roman" w:hAnsi="Times New Roman"/>
          <w:b/>
          <w:sz w:val="24"/>
          <w:szCs w:val="24"/>
        </w:rPr>
        <w:t xml:space="preserve">  </w:t>
      </w:r>
      <w:r w:rsidR="005C1548" w:rsidRPr="00DD12E2">
        <w:rPr>
          <w:rFonts w:ascii="Times New Roman" w:hAnsi="Times New Roman"/>
          <w:b/>
          <w:sz w:val="24"/>
          <w:szCs w:val="24"/>
        </w:rPr>
        <w:t>Transfer</w:t>
      </w:r>
      <w:proofErr w:type="gramEnd"/>
      <w:r w:rsidR="005C1548" w:rsidRPr="00DD12E2">
        <w:rPr>
          <w:rFonts w:ascii="Times New Roman" w:hAnsi="Times New Roman"/>
          <w:b/>
          <w:sz w:val="24"/>
          <w:szCs w:val="24"/>
        </w:rPr>
        <w:t xml:space="preserve"> of goods to Auction Sales</w:t>
      </w:r>
    </w:p>
    <w:p w:rsidR="005C1548" w:rsidRPr="00B36B97" w:rsidRDefault="005C1548" w:rsidP="005C1548">
      <w:pPr>
        <w:spacing w:after="0" w:line="240" w:lineRule="auto"/>
        <w:jc w:val="both"/>
        <w:rPr>
          <w:rFonts w:ascii="Times New Roman" w:hAnsi="Times New Roman"/>
          <w:b/>
          <w:sz w:val="24"/>
          <w:szCs w:val="24"/>
        </w:rPr>
      </w:pPr>
    </w:p>
    <w:p w:rsidR="005C1548" w:rsidRPr="00DD12E2" w:rsidRDefault="005C1548" w:rsidP="005C1548">
      <w:pPr>
        <w:autoSpaceDE w:val="0"/>
        <w:autoSpaceDN w:val="0"/>
        <w:adjustRightInd w:val="0"/>
        <w:spacing w:after="0" w:line="240" w:lineRule="auto"/>
        <w:jc w:val="both"/>
        <w:rPr>
          <w:rFonts w:ascii="Times New Roman" w:hAnsi="Times New Roman"/>
          <w:sz w:val="24"/>
          <w:szCs w:val="24"/>
        </w:rPr>
      </w:pPr>
      <w:r w:rsidRPr="00DD12E2">
        <w:rPr>
          <w:rFonts w:ascii="Times New Roman" w:hAnsi="Times New Roman"/>
          <w:color w:val="000000"/>
          <w:sz w:val="24"/>
          <w:szCs w:val="24"/>
        </w:rPr>
        <w:t>Section 61</w:t>
      </w:r>
      <w:r>
        <w:rPr>
          <w:rFonts w:ascii="Times New Roman" w:hAnsi="Times New Roman"/>
          <w:color w:val="000000"/>
          <w:sz w:val="24"/>
          <w:szCs w:val="24"/>
        </w:rPr>
        <w:t>(1)</w:t>
      </w:r>
      <w:r w:rsidRPr="00DD12E2">
        <w:rPr>
          <w:rFonts w:ascii="Times New Roman" w:hAnsi="Times New Roman"/>
          <w:color w:val="000000"/>
          <w:sz w:val="24"/>
          <w:szCs w:val="24"/>
        </w:rPr>
        <w:t xml:space="preserve"> </w:t>
      </w:r>
      <w:r w:rsidRPr="00DD12E2">
        <w:rPr>
          <w:rFonts w:ascii="Times New Roman" w:hAnsi="Times New Roman"/>
          <w:sz w:val="24"/>
          <w:szCs w:val="24"/>
        </w:rPr>
        <w:t>of the Customs Act</w:t>
      </w:r>
      <w:r w:rsidR="000B054E">
        <w:rPr>
          <w:rFonts w:ascii="Times New Roman" w:hAnsi="Times New Roman"/>
          <w:sz w:val="24"/>
          <w:szCs w:val="24"/>
        </w:rPr>
        <w:t xml:space="preserve"> </w:t>
      </w:r>
      <w:r w:rsidRPr="00DD12E2">
        <w:rPr>
          <w:rFonts w:ascii="Times New Roman" w:hAnsi="Times New Roman"/>
          <w:color w:val="000000"/>
          <w:sz w:val="24"/>
          <w:szCs w:val="24"/>
        </w:rPr>
        <w:t>provides that</w:t>
      </w:r>
      <w:r>
        <w:rPr>
          <w:rFonts w:ascii="Times New Roman" w:hAnsi="Times New Roman"/>
          <w:color w:val="000000"/>
          <w:sz w:val="24"/>
          <w:szCs w:val="24"/>
        </w:rPr>
        <w:t xml:space="preserve"> where goods are landed and are not claimed or removed within two months of being landed,</w:t>
      </w:r>
      <w:r w:rsidRPr="00DD12E2">
        <w:rPr>
          <w:rFonts w:ascii="Times New Roman" w:hAnsi="Times New Roman"/>
          <w:color w:val="000000"/>
          <w:sz w:val="24"/>
          <w:szCs w:val="24"/>
        </w:rPr>
        <w:t xml:space="preserve"> the </w:t>
      </w:r>
      <w:r w:rsidRPr="00DD12E2">
        <w:rPr>
          <w:rFonts w:ascii="Times New Roman" w:hAnsi="Times New Roman"/>
          <w:sz w:val="24"/>
          <w:szCs w:val="24"/>
        </w:rPr>
        <w:t>Director-General may cause the goods to be sold by public auction or public tender, as he may determine, after giving public notice of the sale.</w:t>
      </w:r>
    </w:p>
    <w:p w:rsidR="005C1548" w:rsidRPr="0099755F" w:rsidRDefault="005C1548" w:rsidP="005C1548">
      <w:pPr>
        <w:autoSpaceDE w:val="0"/>
        <w:autoSpaceDN w:val="0"/>
        <w:adjustRightInd w:val="0"/>
        <w:spacing w:after="0" w:line="240" w:lineRule="auto"/>
        <w:jc w:val="both"/>
        <w:rPr>
          <w:rFonts w:ascii="Times New Roman" w:hAnsi="Times New Roman"/>
        </w:rPr>
      </w:pPr>
    </w:p>
    <w:p w:rsidR="00127C2B" w:rsidRPr="0099755F" w:rsidRDefault="00127C2B" w:rsidP="005C1548">
      <w:pPr>
        <w:autoSpaceDE w:val="0"/>
        <w:autoSpaceDN w:val="0"/>
        <w:adjustRightInd w:val="0"/>
        <w:spacing w:after="0" w:line="240" w:lineRule="auto"/>
        <w:jc w:val="both"/>
        <w:rPr>
          <w:rFonts w:ascii="Times New Roman" w:hAnsi="Times New Roman"/>
        </w:rPr>
      </w:pPr>
    </w:p>
    <w:p w:rsidR="005C1548" w:rsidRPr="005C1548" w:rsidRDefault="005C1548" w:rsidP="005C1548">
      <w:pPr>
        <w:spacing w:after="0" w:line="240" w:lineRule="auto"/>
        <w:jc w:val="both"/>
        <w:rPr>
          <w:rFonts w:ascii="Times New Roman" w:hAnsi="Times New Roman"/>
          <w:b/>
          <w:i/>
          <w:sz w:val="24"/>
          <w:szCs w:val="24"/>
        </w:rPr>
      </w:pPr>
      <w:r w:rsidRPr="005C1548">
        <w:rPr>
          <w:rFonts w:ascii="Times New Roman" w:hAnsi="Times New Roman"/>
          <w:b/>
          <w:i/>
          <w:sz w:val="24"/>
          <w:szCs w:val="24"/>
        </w:rPr>
        <w:t>Observations</w:t>
      </w:r>
    </w:p>
    <w:p w:rsidR="005C1548" w:rsidRDefault="005C1548" w:rsidP="005C1548">
      <w:pPr>
        <w:spacing w:after="0" w:line="240" w:lineRule="auto"/>
        <w:jc w:val="both"/>
        <w:rPr>
          <w:rFonts w:ascii="Times New Roman" w:hAnsi="Times New Roman"/>
          <w:i/>
          <w:sz w:val="24"/>
          <w:szCs w:val="24"/>
        </w:rPr>
      </w:pPr>
    </w:p>
    <w:p w:rsidR="005C1548" w:rsidRPr="00DD12E2" w:rsidRDefault="00BF0E37" w:rsidP="005C1548">
      <w:pPr>
        <w:spacing w:after="0" w:line="240" w:lineRule="auto"/>
        <w:jc w:val="both"/>
        <w:rPr>
          <w:rFonts w:ascii="Times New Roman" w:hAnsi="Times New Roman"/>
          <w:b/>
          <w:color w:val="000000"/>
          <w:sz w:val="24"/>
          <w:szCs w:val="24"/>
        </w:rPr>
      </w:pPr>
      <w:proofErr w:type="gramStart"/>
      <w:r>
        <w:rPr>
          <w:rFonts w:ascii="Times New Roman" w:hAnsi="Times New Roman"/>
          <w:b/>
          <w:i/>
          <w:sz w:val="24"/>
          <w:szCs w:val="24"/>
        </w:rPr>
        <w:t>6.</w:t>
      </w:r>
      <w:r w:rsidR="0025496D">
        <w:rPr>
          <w:rFonts w:ascii="Times New Roman" w:hAnsi="Times New Roman"/>
          <w:b/>
          <w:i/>
          <w:sz w:val="24"/>
          <w:szCs w:val="24"/>
        </w:rPr>
        <w:t>2</w:t>
      </w:r>
      <w:r w:rsidR="005C1548">
        <w:rPr>
          <w:rFonts w:ascii="Times New Roman" w:hAnsi="Times New Roman"/>
          <w:b/>
          <w:i/>
          <w:sz w:val="24"/>
          <w:szCs w:val="24"/>
        </w:rPr>
        <w:t xml:space="preserve">.1  </w:t>
      </w:r>
      <w:r w:rsidR="005C1548" w:rsidRPr="00DD12E2">
        <w:rPr>
          <w:rFonts w:ascii="Times New Roman" w:hAnsi="Times New Roman"/>
          <w:b/>
          <w:i/>
          <w:sz w:val="24"/>
          <w:szCs w:val="24"/>
        </w:rPr>
        <w:t>Overlying</w:t>
      </w:r>
      <w:proofErr w:type="gramEnd"/>
      <w:r w:rsidR="005C1548" w:rsidRPr="00DD12E2">
        <w:rPr>
          <w:rFonts w:ascii="Times New Roman" w:hAnsi="Times New Roman"/>
          <w:b/>
          <w:i/>
          <w:sz w:val="24"/>
          <w:szCs w:val="24"/>
        </w:rPr>
        <w:t xml:space="preserve"> goods at freight Stations</w:t>
      </w:r>
    </w:p>
    <w:p w:rsidR="005C1548" w:rsidRDefault="005C1548" w:rsidP="005C1548">
      <w:pPr>
        <w:autoSpaceDE w:val="0"/>
        <w:autoSpaceDN w:val="0"/>
        <w:adjustRightInd w:val="0"/>
        <w:spacing w:after="0" w:line="240" w:lineRule="auto"/>
        <w:jc w:val="both"/>
        <w:rPr>
          <w:rFonts w:ascii="Times New Roman" w:hAnsi="Times New Roman"/>
          <w:color w:val="000000"/>
          <w:sz w:val="24"/>
          <w:szCs w:val="24"/>
        </w:rPr>
      </w:pPr>
    </w:p>
    <w:p w:rsidR="005C1548" w:rsidRPr="00DD12E2" w:rsidRDefault="002E76AE" w:rsidP="005C154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 scrutiny of the Un-stuffing R</w:t>
      </w:r>
      <w:r w:rsidR="005C1548" w:rsidRPr="00DD12E2">
        <w:rPr>
          <w:rFonts w:ascii="Times New Roman" w:hAnsi="Times New Roman"/>
          <w:color w:val="000000"/>
          <w:sz w:val="24"/>
          <w:szCs w:val="24"/>
        </w:rPr>
        <w:t>egister of two freight stations revealed that as</w:t>
      </w:r>
      <w:r w:rsidR="005C1548">
        <w:rPr>
          <w:rFonts w:ascii="Times New Roman" w:hAnsi="Times New Roman"/>
          <w:color w:val="000000"/>
          <w:sz w:val="24"/>
          <w:szCs w:val="24"/>
        </w:rPr>
        <w:t xml:space="preserve"> of June 2015</w:t>
      </w:r>
      <w:r>
        <w:rPr>
          <w:rFonts w:ascii="Times New Roman" w:hAnsi="Times New Roman"/>
          <w:color w:val="000000"/>
          <w:sz w:val="24"/>
          <w:szCs w:val="24"/>
        </w:rPr>
        <w:t>,</w:t>
      </w:r>
      <w:r w:rsidR="005C1548">
        <w:rPr>
          <w:rFonts w:ascii="Times New Roman" w:hAnsi="Times New Roman"/>
          <w:color w:val="000000"/>
          <w:sz w:val="24"/>
          <w:szCs w:val="24"/>
        </w:rPr>
        <w:t xml:space="preserve"> </w:t>
      </w:r>
      <w:r w:rsidR="005C1548" w:rsidRPr="00DD12E2">
        <w:rPr>
          <w:rFonts w:ascii="Times New Roman" w:hAnsi="Times New Roman"/>
          <w:color w:val="000000"/>
          <w:sz w:val="24"/>
          <w:szCs w:val="24"/>
        </w:rPr>
        <w:t>78 vehicles</w:t>
      </w:r>
      <w:r>
        <w:rPr>
          <w:rFonts w:ascii="Times New Roman" w:hAnsi="Times New Roman"/>
          <w:color w:val="000000"/>
          <w:sz w:val="24"/>
          <w:szCs w:val="24"/>
        </w:rPr>
        <w:t>,</w:t>
      </w:r>
      <w:r w:rsidR="005C1548" w:rsidRPr="00DD12E2">
        <w:rPr>
          <w:rFonts w:ascii="Times New Roman" w:hAnsi="Times New Roman"/>
          <w:color w:val="000000"/>
          <w:sz w:val="24"/>
          <w:szCs w:val="24"/>
        </w:rPr>
        <w:t xml:space="preserve"> as well as several other items</w:t>
      </w:r>
      <w:r>
        <w:rPr>
          <w:rFonts w:ascii="Times New Roman" w:hAnsi="Times New Roman"/>
          <w:color w:val="000000"/>
          <w:sz w:val="24"/>
          <w:szCs w:val="24"/>
        </w:rPr>
        <w:t>,</w:t>
      </w:r>
      <w:r w:rsidR="005C1548" w:rsidRPr="00DD12E2">
        <w:rPr>
          <w:rFonts w:ascii="Times New Roman" w:hAnsi="Times New Roman"/>
          <w:color w:val="000000"/>
          <w:sz w:val="24"/>
          <w:szCs w:val="24"/>
        </w:rPr>
        <w:t xml:space="preserve"> such as spare parts, fittings, construction materials and garments have been overlying </w:t>
      </w:r>
      <w:r w:rsidR="005C1548">
        <w:rPr>
          <w:rFonts w:ascii="Times New Roman" w:hAnsi="Times New Roman"/>
          <w:color w:val="000000"/>
          <w:sz w:val="24"/>
          <w:szCs w:val="24"/>
        </w:rPr>
        <w:t>beyond the prescribed delay of two months</w:t>
      </w:r>
      <w:r>
        <w:rPr>
          <w:rFonts w:ascii="Times New Roman" w:hAnsi="Times New Roman"/>
          <w:color w:val="000000"/>
          <w:sz w:val="24"/>
          <w:szCs w:val="24"/>
        </w:rPr>
        <w:t>,</w:t>
      </w:r>
      <w:r w:rsidR="005C1548">
        <w:rPr>
          <w:rFonts w:ascii="Times New Roman" w:hAnsi="Times New Roman"/>
          <w:color w:val="000000"/>
          <w:sz w:val="24"/>
          <w:szCs w:val="24"/>
        </w:rPr>
        <w:t xml:space="preserve"> as per</w:t>
      </w:r>
      <w:r>
        <w:rPr>
          <w:rFonts w:ascii="Times New Roman" w:hAnsi="Times New Roman"/>
          <w:color w:val="000000"/>
          <w:sz w:val="24"/>
          <w:szCs w:val="24"/>
        </w:rPr>
        <w:t xml:space="preserve"> Customs R</w:t>
      </w:r>
      <w:r w:rsidR="005C1548" w:rsidRPr="00DD12E2">
        <w:rPr>
          <w:rFonts w:ascii="Times New Roman" w:hAnsi="Times New Roman"/>
          <w:color w:val="000000"/>
          <w:sz w:val="24"/>
          <w:szCs w:val="24"/>
        </w:rPr>
        <w:t>egulations</w:t>
      </w:r>
      <w:r w:rsidR="005C1548" w:rsidRPr="001030DF">
        <w:rPr>
          <w:rFonts w:ascii="Times New Roman" w:hAnsi="Times New Roman"/>
          <w:sz w:val="24"/>
          <w:szCs w:val="24"/>
        </w:rPr>
        <w:t>. Some of these goods</w:t>
      </w:r>
      <w:r w:rsidR="005C1548">
        <w:rPr>
          <w:rFonts w:ascii="Times New Roman" w:hAnsi="Times New Roman"/>
          <w:color w:val="000000"/>
          <w:sz w:val="24"/>
          <w:szCs w:val="24"/>
        </w:rPr>
        <w:t xml:space="preserve"> have even remained at the freight stations </w:t>
      </w:r>
      <w:r>
        <w:rPr>
          <w:rFonts w:ascii="Times New Roman" w:hAnsi="Times New Roman"/>
          <w:color w:val="000000"/>
          <w:sz w:val="24"/>
          <w:szCs w:val="24"/>
        </w:rPr>
        <w:t xml:space="preserve">since </w:t>
      </w:r>
      <w:r w:rsidR="005C1548" w:rsidRPr="00DD12E2">
        <w:rPr>
          <w:rFonts w:ascii="Times New Roman" w:hAnsi="Times New Roman"/>
          <w:color w:val="000000"/>
          <w:sz w:val="24"/>
          <w:szCs w:val="24"/>
        </w:rPr>
        <w:t>four years back.</w:t>
      </w:r>
      <w:r w:rsidR="005C1548">
        <w:rPr>
          <w:rFonts w:ascii="Times New Roman" w:hAnsi="Times New Roman"/>
          <w:color w:val="000000"/>
          <w:sz w:val="24"/>
          <w:szCs w:val="24"/>
        </w:rPr>
        <w:t xml:space="preserve"> </w:t>
      </w:r>
    </w:p>
    <w:p w:rsidR="005C1548" w:rsidRPr="005B11C0" w:rsidRDefault="005C1548" w:rsidP="005C1548">
      <w:pPr>
        <w:pStyle w:val="ListParagraph"/>
        <w:spacing w:after="0" w:line="240" w:lineRule="auto"/>
        <w:ind w:left="0"/>
        <w:jc w:val="both"/>
        <w:rPr>
          <w:rFonts w:ascii="Times New Roman" w:hAnsi="Times New Roman"/>
          <w:b/>
          <w:sz w:val="24"/>
          <w:szCs w:val="24"/>
          <w:u w:val="single"/>
        </w:rPr>
      </w:pPr>
    </w:p>
    <w:p w:rsidR="005C1548" w:rsidRPr="00DD12E2" w:rsidRDefault="005C1548" w:rsidP="005C1548">
      <w:pPr>
        <w:pStyle w:val="ListParagraph"/>
        <w:spacing w:after="0" w:line="240" w:lineRule="auto"/>
        <w:ind w:left="0"/>
        <w:jc w:val="both"/>
        <w:rPr>
          <w:rFonts w:ascii="Times New Roman" w:hAnsi="Times New Roman"/>
          <w:sz w:val="24"/>
          <w:szCs w:val="24"/>
        </w:rPr>
      </w:pPr>
      <w:r w:rsidRPr="00DD12E2">
        <w:rPr>
          <w:rFonts w:ascii="Times New Roman" w:hAnsi="Times New Roman"/>
          <w:sz w:val="24"/>
          <w:szCs w:val="24"/>
        </w:rPr>
        <w:t>The overlying vehicles comprised imported second hand ca</w:t>
      </w:r>
      <w:r>
        <w:rPr>
          <w:rFonts w:ascii="Times New Roman" w:hAnsi="Times New Roman"/>
          <w:sz w:val="24"/>
          <w:szCs w:val="24"/>
        </w:rPr>
        <w:t xml:space="preserve">rs of various makes and models. </w:t>
      </w:r>
      <w:r w:rsidRPr="00DD12E2">
        <w:rPr>
          <w:rFonts w:ascii="Times New Roman" w:hAnsi="Times New Roman"/>
          <w:sz w:val="24"/>
          <w:szCs w:val="24"/>
        </w:rPr>
        <w:t xml:space="preserve">These vehicles were in good condition with an average market value ranging from </w:t>
      </w:r>
      <w:r w:rsidR="00C525E7">
        <w:rPr>
          <w:rFonts w:ascii="Times New Roman" w:hAnsi="Times New Roman"/>
          <w:sz w:val="24"/>
          <w:szCs w:val="24"/>
        </w:rPr>
        <w:br/>
      </w:r>
      <w:r w:rsidRPr="00DD12E2">
        <w:rPr>
          <w:rFonts w:ascii="Times New Roman" w:hAnsi="Times New Roman"/>
          <w:sz w:val="24"/>
          <w:szCs w:val="24"/>
        </w:rPr>
        <w:t>Rs 350,000 to Rs 600,000.</w:t>
      </w:r>
      <w:r w:rsidR="000B054E">
        <w:rPr>
          <w:rFonts w:ascii="Times New Roman" w:hAnsi="Times New Roman"/>
          <w:sz w:val="24"/>
          <w:szCs w:val="24"/>
        </w:rPr>
        <w:t xml:space="preserve"> </w:t>
      </w:r>
      <w:r w:rsidRPr="00DD12E2">
        <w:rPr>
          <w:rFonts w:ascii="Times New Roman" w:hAnsi="Times New Roman"/>
          <w:sz w:val="24"/>
          <w:szCs w:val="24"/>
        </w:rPr>
        <w:t>Had these vehicles been sold in accordance with Section 61(1) of the Customs Act</w:t>
      </w:r>
      <w:r w:rsidR="002E76AE">
        <w:rPr>
          <w:rFonts w:ascii="Times New Roman" w:hAnsi="Times New Roman"/>
          <w:sz w:val="24"/>
          <w:szCs w:val="24"/>
        </w:rPr>
        <w:t>, Government could have benefit</w:t>
      </w:r>
      <w:r w:rsidRPr="00DD12E2">
        <w:rPr>
          <w:rFonts w:ascii="Times New Roman" w:hAnsi="Times New Roman"/>
          <w:sz w:val="24"/>
          <w:szCs w:val="24"/>
        </w:rPr>
        <w:t xml:space="preserve">ed from additional revenue of some </w:t>
      </w:r>
      <w:r w:rsidR="00C525E7">
        <w:rPr>
          <w:rFonts w:ascii="Times New Roman" w:hAnsi="Times New Roman"/>
          <w:sz w:val="24"/>
          <w:szCs w:val="24"/>
        </w:rPr>
        <w:br/>
      </w:r>
      <w:r w:rsidRPr="00DD12E2">
        <w:rPr>
          <w:rFonts w:ascii="Times New Roman" w:hAnsi="Times New Roman"/>
          <w:sz w:val="24"/>
          <w:szCs w:val="24"/>
        </w:rPr>
        <w:t xml:space="preserve">Rs 30 million. </w:t>
      </w:r>
    </w:p>
    <w:p w:rsidR="005C1548" w:rsidRPr="00DD12E2" w:rsidRDefault="005C1548" w:rsidP="005C1548">
      <w:pPr>
        <w:pStyle w:val="ListParagraph"/>
        <w:spacing w:after="0" w:line="240" w:lineRule="auto"/>
        <w:ind w:left="0"/>
        <w:jc w:val="both"/>
        <w:rPr>
          <w:rFonts w:ascii="Times New Roman" w:hAnsi="Times New Roman"/>
          <w:sz w:val="24"/>
          <w:szCs w:val="24"/>
        </w:rPr>
      </w:pPr>
    </w:p>
    <w:p w:rsidR="005C1548" w:rsidRDefault="005C1548" w:rsidP="005C154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M</w:t>
      </w:r>
      <w:r w:rsidRPr="00DD12E2">
        <w:rPr>
          <w:rFonts w:ascii="Times New Roman" w:hAnsi="Times New Roman"/>
          <w:sz w:val="24"/>
          <w:szCs w:val="24"/>
        </w:rPr>
        <w:t>ost of the overlying vehicles</w:t>
      </w:r>
      <w:r w:rsidR="002E76AE">
        <w:rPr>
          <w:rFonts w:ascii="Times New Roman" w:hAnsi="Times New Roman"/>
          <w:sz w:val="24"/>
          <w:szCs w:val="24"/>
        </w:rPr>
        <w:t xml:space="preserve"> at freight stations </w:t>
      </w:r>
      <w:r w:rsidR="00D622E1">
        <w:rPr>
          <w:rFonts w:ascii="Times New Roman" w:hAnsi="Times New Roman"/>
          <w:sz w:val="24"/>
          <w:szCs w:val="24"/>
        </w:rPr>
        <w:t>were</w:t>
      </w:r>
      <w:r>
        <w:rPr>
          <w:rFonts w:ascii="Times New Roman" w:hAnsi="Times New Roman"/>
          <w:sz w:val="24"/>
          <w:szCs w:val="24"/>
        </w:rPr>
        <w:t xml:space="preserve"> imported by </w:t>
      </w:r>
      <w:r w:rsidRPr="00DD12E2">
        <w:rPr>
          <w:rFonts w:ascii="Times New Roman" w:hAnsi="Times New Roman"/>
          <w:sz w:val="24"/>
          <w:szCs w:val="24"/>
        </w:rPr>
        <w:t>dealers who were</w:t>
      </w:r>
      <w:r>
        <w:rPr>
          <w:rFonts w:ascii="Times New Roman" w:hAnsi="Times New Roman"/>
          <w:sz w:val="24"/>
          <w:szCs w:val="24"/>
        </w:rPr>
        <w:t xml:space="preserve"> </w:t>
      </w:r>
      <w:r w:rsidRPr="00DD12E2">
        <w:rPr>
          <w:rFonts w:ascii="Times New Roman" w:hAnsi="Times New Roman"/>
          <w:sz w:val="24"/>
          <w:szCs w:val="24"/>
        </w:rPr>
        <w:t>delaying payment of customs duties</w:t>
      </w:r>
      <w:r>
        <w:rPr>
          <w:rFonts w:ascii="Times New Roman" w:hAnsi="Times New Roman"/>
          <w:sz w:val="24"/>
          <w:szCs w:val="24"/>
        </w:rPr>
        <w:t xml:space="preserve"> </w:t>
      </w:r>
      <w:r w:rsidRPr="000D638A">
        <w:rPr>
          <w:rFonts w:ascii="Times New Roman" w:hAnsi="Times New Roman"/>
          <w:sz w:val="24"/>
          <w:szCs w:val="24"/>
        </w:rPr>
        <w:t>while some</w:t>
      </w:r>
      <w:r w:rsidRPr="001030DF">
        <w:rPr>
          <w:rFonts w:ascii="Times New Roman" w:hAnsi="Times New Roman"/>
          <w:b/>
          <w:sz w:val="24"/>
          <w:szCs w:val="24"/>
        </w:rPr>
        <w:t xml:space="preserve"> </w:t>
      </w:r>
      <w:r>
        <w:rPr>
          <w:rFonts w:ascii="Times New Roman" w:hAnsi="Times New Roman"/>
          <w:sz w:val="24"/>
          <w:szCs w:val="24"/>
        </w:rPr>
        <w:t>of them</w:t>
      </w:r>
      <w:r w:rsidR="002E76AE">
        <w:rPr>
          <w:rFonts w:ascii="Times New Roman" w:hAnsi="Times New Roman"/>
          <w:sz w:val="24"/>
          <w:szCs w:val="24"/>
        </w:rPr>
        <w:t xml:space="preserve"> were already benefi</w:t>
      </w:r>
      <w:r w:rsidRPr="00DD12E2">
        <w:rPr>
          <w:rFonts w:ascii="Times New Roman" w:hAnsi="Times New Roman"/>
          <w:sz w:val="24"/>
          <w:szCs w:val="24"/>
        </w:rPr>
        <w:t>ting from deferred pa</w:t>
      </w:r>
      <w:r>
        <w:rPr>
          <w:rFonts w:ascii="Times New Roman" w:hAnsi="Times New Roman"/>
          <w:sz w:val="24"/>
          <w:szCs w:val="24"/>
        </w:rPr>
        <w:t>yment facilities for</w:t>
      </w:r>
      <w:r w:rsidRPr="00DD12E2">
        <w:rPr>
          <w:rFonts w:ascii="Times New Roman" w:hAnsi="Times New Roman"/>
          <w:sz w:val="24"/>
          <w:szCs w:val="24"/>
        </w:rPr>
        <w:t xml:space="preserve"> Bonde</w:t>
      </w:r>
      <w:r>
        <w:rPr>
          <w:rFonts w:ascii="Times New Roman" w:hAnsi="Times New Roman"/>
          <w:sz w:val="24"/>
          <w:szCs w:val="24"/>
        </w:rPr>
        <w:t>d Warehouses, under</w:t>
      </w:r>
      <w:r w:rsidRPr="00DD12E2">
        <w:rPr>
          <w:rFonts w:ascii="Times New Roman" w:hAnsi="Times New Roman"/>
          <w:sz w:val="24"/>
          <w:szCs w:val="24"/>
        </w:rPr>
        <w:t xml:space="preserve"> Se</w:t>
      </w:r>
      <w:r w:rsidR="002E76AE">
        <w:rPr>
          <w:rFonts w:ascii="Times New Roman" w:hAnsi="Times New Roman"/>
          <w:sz w:val="24"/>
          <w:szCs w:val="24"/>
        </w:rPr>
        <w:t>ction 67 of the Customs Act</w:t>
      </w:r>
      <w:r w:rsidRPr="00DD12E2">
        <w:rPr>
          <w:rFonts w:ascii="Times New Roman" w:hAnsi="Times New Roman"/>
          <w:sz w:val="24"/>
          <w:szCs w:val="24"/>
        </w:rPr>
        <w:t>.</w:t>
      </w:r>
      <w:r>
        <w:rPr>
          <w:rFonts w:ascii="Times New Roman" w:hAnsi="Times New Roman"/>
          <w:sz w:val="24"/>
          <w:szCs w:val="24"/>
        </w:rPr>
        <w:t xml:space="preserve"> </w:t>
      </w:r>
    </w:p>
    <w:p w:rsidR="005C1548" w:rsidRDefault="005C1548" w:rsidP="005C1548">
      <w:pPr>
        <w:pStyle w:val="ListParagraph"/>
        <w:spacing w:after="0" w:line="240" w:lineRule="auto"/>
        <w:ind w:left="0"/>
        <w:jc w:val="both"/>
        <w:rPr>
          <w:rFonts w:ascii="Times New Roman" w:hAnsi="Times New Roman"/>
          <w:sz w:val="24"/>
          <w:szCs w:val="24"/>
        </w:rPr>
      </w:pPr>
    </w:p>
    <w:p w:rsidR="005C1548" w:rsidRDefault="002E666A" w:rsidP="005C1548">
      <w:pPr>
        <w:pStyle w:val="ListParagraph"/>
        <w:spacing w:after="0" w:line="240" w:lineRule="auto"/>
        <w:ind w:left="0"/>
        <w:jc w:val="both"/>
        <w:rPr>
          <w:rFonts w:ascii="Times New Roman" w:hAnsi="Times New Roman"/>
          <w:b/>
          <w:i/>
          <w:sz w:val="24"/>
          <w:szCs w:val="24"/>
        </w:rPr>
      </w:pPr>
      <w:r>
        <w:rPr>
          <w:rFonts w:ascii="Times New Roman" w:hAnsi="Times New Roman"/>
          <w:b/>
          <w:i/>
          <w:sz w:val="24"/>
          <w:szCs w:val="24"/>
        </w:rPr>
        <w:t>Management’s</w:t>
      </w:r>
      <w:r w:rsidR="002E76AE">
        <w:rPr>
          <w:rFonts w:ascii="Times New Roman" w:hAnsi="Times New Roman"/>
          <w:b/>
          <w:i/>
          <w:sz w:val="24"/>
          <w:szCs w:val="24"/>
        </w:rPr>
        <w:t xml:space="preserve"> Reply</w:t>
      </w:r>
    </w:p>
    <w:p w:rsidR="005C1548" w:rsidRDefault="005C1548" w:rsidP="005C1548">
      <w:pPr>
        <w:pStyle w:val="ListParagraph"/>
        <w:spacing w:after="0" w:line="240" w:lineRule="auto"/>
        <w:ind w:left="0"/>
        <w:jc w:val="both"/>
        <w:rPr>
          <w:rFonts w:ascii="Times New Roman" w:hAnsi="Times New Roman"/>
          <w:b/>
          <w:i/>
          <w:sz w:val="24"/>
          <w:szCs w:val="24"/>
        </w:rPr>
      </w:pPr>
    </w:p>
    <w:p w:rsidR="00DC3B93" w:rsidRDefault="00DC3B93" w:rsidP="00DC3B93">
      <w:pPr>
        <w:spacing w:after="0" w:line="240" w:lineRule="auto"/>
        <w:jc w:val="both"/>
        <w:rPr>
          <w:rFonts w:ascii="Times New Roman" w:hAnsi="Times New Roman"/>
          <w:sz w:val="24"/>
          <w:szCs w:val="24"/>
        </w:rPr>
      </w:pPr>
      <w:r>
        <w:rPr>
          <w:rFonts w:ascii="Times New Roman" w:hAnsi="Times New Roman"/>
          <w:sz w:val="24"/>
          <w:szCs w:val="24"/>
        </w:rPr>
        <w:t>Auction sales are carried out at Customs warehouse</w:t>
      </w:r>
      <w:r w:rsidR="00BF5560">
        <w:rPr>
          <w:rFonts w:ascii="Times New Roman" w:hAnsi="Times New Roman"/>
          <w:sz w:val="24"/>
          <w:szCs w:val="24"/>
        </w:rPr>
        <w:t>s</w:t>
      </w:r>
      <w:r>
        <w:rPr>
          <w:rFonts w:ascii="Times New Roman" w:hAnsi="Times New Roman"/>
          <w:sz w:val="24"/>
          <w:szCs w:val="24"/>
        </w:rPr>
        <w:t>.</w:t>
      </w:r>
      <w:r w:rsidR="00BF5560">
        <w:rPr>
          <w:rFonts w:ascii="Times New Roman" w:hAnsi="Times New Roman"/>
          <w:sz w:val="24"/>
          <w:szCs w:val="24"/>
        </w:rPr>
        <w:t xml:space="preserve"> </w:t>
      </w:r>
      <w:r>
        <w:rPr>
          <w:rFonts w:ascii="Times New Roman" w:hAnsi="Times New Roman"/>
          <w:sz w:val="24"/>
          <w:szCs w:val="24"/>
        </w:rPr>
        <w:t>However, the existing Customs warehouses do not provide enough space to display a large volume of goods for sale.</w:t>
      </w:r>
      <w:r w:rsidR="000B054E">
        <w:rPr>
          <w:rFonts w:ascii="Times New Roman" w:hAnsi="Times New Roman"/>
          <w:sz w:val="24"/>
          <w:szCs w:val="24"/>
        </w:rPr>
        <w:t xml:space="preserve"> </w:t>
      </w:r>
      <w:r>
        <w:rPr>
          <w:rFonts w:ascii="Times New Roman" w:hAnsi="Times New Roman"/>
          <w:sz w:val="24"/>
          <w:szCs w:val="24"/>
        </w:rPr>
        <w:t>Action has been initiated to look for additional space for storage and auctioning of goods.</w:t>
      </w:r>
    </w:p>
    <w:p w:rsidR="00DC3B93" w:rsidRDefault="00DC3B93" w:rsidP="00DC3B93">
      <w:pPr>
        <w:spacing w:after="0" w:line="240" w:lineRule="auto"/>
        <w:jc w:val="both"/>
        <w:rPr>
          <w:rFonts w:ascii="Times New Roman" w:hAnsi="Times New Roman"/>
          <w:sz w:val="24"/>
          <w:szCs w:val="24"/>
        </w:rPr>
      </w:pPr>
    </w:p>
    <w:p w:rsidR="00DC3B93" w:rsidRDefault="00DC3B93" w:rsidP="00DC3B93">
      <w:pPr>
        <w:spacing w:after="0" w:line="240" w:lineRule="auto"/>
        <w:jc w:val="both"/>
        <w:rPr>
          <w:rFonts w:ascii="Times New Roman" w:hAnsi="Times New Roman"/>
          <w:sz w:val="24"/>
          <w:szCs w:val="24"/>
        </w:rPr>
      </w:pPr>
      <w:r>
        <w:rPr>
          <w:rFonts w:ascii="Times New Roman" w:hAnsi="Times New Roman"/>
          <w:sz w:val="24"/>
          <w:szCs w:val="24"/>
        </w:rPr>
        <w:t>A high proportion of goods that are sent for auction do not fetch the reserve price that is laid down in the legislations</w:t>
      </w:r>
      <w:r w:rsidR="002E76AE">
        <w:rPr>
          <w:rFonts w:ascii="Times New Roman" w:hAnsi="Times New Roman"/>
          <w:sz w:val="24"/>
          <w:szCs w:val="24"/>
        </w:rPr>
        <w:t>,</w:t>
      </w:r>
      <w:r>
        <w:rPr>
          <w:rFonts w:ascii="Times New Roman" w:hAnsi="Times New Roman"/>
          <w:sz w:val="24"/>
          <w:szCs w:val="24"/>
        </w:rPr>
        <w:t xml:space="preserve"> and have to be auctioned again at a second/third attempt.</w:t>
      </w:r>
    </w:p>
    <w:p w:rsidR="00DC3B93" w:rsidRDefault="00DC3B93" w:rsidP="00DC3B93">
      <w:pPr>
        <w:spacing w:after="0" w:line="240" w:lineRule="auto"/>
        <w:jc w:val="both"/>
        <w:rPr>
          <w:rFonts w:ascii="Times New Roman" w:hAnsi="Times New Roman"/>
          <w:sz w:val="24"/>
          <w:szCs w:val="24"/>
        </w:rPr>
      </w:pPr>
    </w:p>
    <w:p w:rsidR="00DC3B93" w:rsidRDefault="002E76AE" w:rsidP="00DC3B93">
      <w:pPr>
        <w:spacing w:after="0" w:line="240" w:lineRule="auto"/>
        <w:jc w:val="both"/>
        <w:rPr>
          <w:rFonts w:ascii="Times New Roman" w:hAnsi="Times New Roman"/>
          <w:sz w:val="24"/>
          <w:szCs w:val="24"/>
        </w:rPr>
      </w:pPr>
      <w:r>
        <w:rPr>
          <w:rFonts w:ascii="Times New Roman" w:hAnsi="Times New Roman"/>
          <w:sz w:val="24"/>
          <w:szCs w:val="24"/>
        </w:rPr>
        <w:t>Over the p</w:t>
      </w:r>
      <w:r w:rsidR="00DC3B93">
        <w:rPr>
          <w:rFonts w:ascii="Times New Roman" w:hAnsi="Times New Roman"/>
          <w:sz w:val="24"/>
          <w:szCs w:val="24"/>
        </w:rPr>
        <w:t>ast five years, auction of vehicles have yielded, on average</w:t>
      </w:r>
      <w:r w:rsidR="00127C2B">
        <w:rPr>
          <w:rFonts w:ascii="Times New Roman" w:hAnsi="Times New Roman"/>
          <w:sz w:val="24"/>
          <w:szCs w:val="24"/>
        </w:rPr>
        <w:t xml:space="preserve">, some Rs 142,600 per vehicle. </w:t>
      </w:r>
      <w:r w:rsidR="00DC3B93">
        <w:rPr>
          <w:rFonts w:ascii="Times New Roman" w:hAnsi="Times New Roman"/>
          <w:sz w:val="24"/>
          <w:szCs w:val="24"/>
        </w:rPr>
        <w:t>The estimates of Rs 350,000 to Rs 600,000 are on the high side.</w:t>
      </w:r>
    </w:p>
    <w:p w:rsidR="0099755F" w:rsidRPr="0099755F" w:rsidRDefault="0099755F" w:rsidP="00DC3B93">
      <w:pPr>
        <w:spacing w:after="0" w:line="240" w:lineRule="auto"/>
        <w:jc w:val="both"/>
        <w:rPr>
          <w:rFonts w:ascii="Times New Roman" w:hAnsi="Times New Roman"/>
          <w:sz w:val="24"/>
          <w:szCs w:val="24"/>
        </w:rPr>
      </w:pPr>
    </w:p>
    <w:p w:rsidR="0099755F" w:rsidRDefault="0099755F" w:rsidP="0099755F">
      <w:pPr>
        <w:pStyle w:val="ListParagraph"/>
        <w:spacing w:line="240" w:lineRule="auto"/>
        <w:ind w:left="0"/>
        <w:jc w:val="both"/>
        <w:rPr>
          <w:rFonts w:ascii="Times New Roman" w:hAnsi="Times New Roman"/>
          <w:b/>
          <w:i/>
          <w:sz w:val="24"/>
        </w:rPr>
      </w:pPr>
      <w:r w:rsidRPr="001203F1">
        <w:rPr>
          <w:rFonts w:ascii="Times New Roman" w:hAnsi="Times New Roman"/>
          <w:b/>
          <w:i/>
          <w:sz w:val="24"/>
        </w:rPr>
        <w:t>NAO’</w:t>
      </w:r>
      <w:r>
        <w:rPr>
          <w:rFonts w:ascii="Times New Roman" w:hAnsi="Times New Roman"/>
          <w:b/>
          <w:i/>
          <w:sz w:val="24"/>
        </w:rPr>
        <w:t>s</w:t>
      </w:r>
      <w:r w:rsidRPr="001203F1">
        <w:rPr>
          <w:rFonts w:ascii="Times New Roman" w:hAnsi="Times New Roman"/>
          <w:b/>
          <w:i/>
          <w:sz w:val="24"/>
        </w:rPr>
        <w:t xml:space="preserve"> Comment </w:t>
      </w:r>
    </w:p>
    <w:p w:rsidR="0099755F" w:rsidRDefault="0099755F" w:rsidP="0099755F">
      <w:pPr>
        <w:pStyle w:val="ListParagraph"/>
        <w:spacing w:line="240" w:lineRule="auto"/>
        <w:ind w:left="0"/>
        <w:jc w:val="both"/>
        <w:rPr>
          <w:rFonts w:ascii="Times New Roman" w:hAnsi="Times New Roman"/>
          <w:b/>
          <w:i/>
          <w:sz w:val="24"/>
        </w:rPr>
      </w:pPr>
    </w:p>
    <w:p w:rsidR="0099755F" w:rsidRPr="001203F1" w:rsidRDefault="0099755F" w:rsidP="0099755F">
      <w:pPr>
        <w:pStyle w:val="ListParagraph"/>
        <w:spacing w:line="240" w:lineRule="auto"/>
        <w:ind w:left="0"/>
        <w:jc w:val="both"/>
        <w:rPr>
          <w:rFonts w:ascii="Times New Roman" w:hAnsi="Times New Roman"/>
          <w:sz w:val="24"/>
        </w:rPr>
      </w:pPr>
      <w:r w:rsidRPr="001203F1">
        <w:rPr>
          <w:rFonts w:ascii="Times New Roman" w:hAnsi="Times New Roman"/>
          <w:sz w:val="24"/>
        </w:rPr>
        <w:t xml:space="preserve">The </w:t>
      </w:r>
      <w:r>
        <w:rPr>
          <w:rFonts w:ascii="Times New Roman" w:hAnsi="Times New Roman"/>
          <w:sz w:val="24"/>
        </w:rPr>
        <w:t>average price fetched over the past five years cannot be used due to the concept of time value of money.</w:t>
      </w:r>
    </w:p>
    <w:p w:rsidR="005C1548" w:rsidRPr="005C1548" w:rsidRDefault="00BF0E37" w:rsidP="005C1548">
      <w:pPr>
        <w:tabs>
          <w:tab w:val="left" w:pos="720"/>
        </w:tabs>
        <w:spacing w:after="0" w:line="240" w:lineRule="auto"/>
        <w:jc w:val="both"/>
        <w:rPr>
          <w:rFonts w:ascii="Times New Roman" w:hAnsi="Times New Roman"/>
          <w:b/>
          <w:i/>
          <w:sz w:val="24"/>
          <w:szCs w:val="24"/>
        </w:rPr>
      </w:pPr>
      <w:proofErr w:type="gramStart"/>
      <w:r>
        <w:rPr>
          <w:rFonts w:ascii="Times New Roman" w:hAnsi="Times New Roman"/>
          <w:b/>
          <w:i/>
          <w:sz w:val="24"/>
          <w:szCs w:val="24"/>
        </w:rPr>
        <w:lastRenderedPageBreak/>
        <w:t>6.</w:t>
      </w:r>
      <w:r w:rsidR="0025496D">
        <w:rPr>
          <w:rFonts w:ascii="Times New Roman" w:hAnsi="Times New Roman"/>
          <w:b/>
          <w:i/>
          <w:sz w:val="24"/>
          <w:szCs w:val="24"/>
        </w:rPr>
        <w:t>2</w:t>
      </w:r>
      <w:r w:rsidR="005C1548">
        <w:rPr>
          <w:rFonts w:ascii="Times New Roman" w:hAnsi="Times New Roman"/>
          <w:b/>
          <w:i/>
          <w:sz w:val="24"/>
          <w:szCs w:val="24"/>
        </w:rPr>
        <w:t xml:space="preserve">.2  </w:t>
      </w:r>
      <w:r w:rsidR="005C1548" w:rsidRPr="005C1548">
        <w:rPr>
          <w:rFonts w:ascii="Times New Roman" w:hAnsi="Times New Roman"/>
          <w:b/>
          <w:i/>
          <w:sz w:val="24"/>
          <w:szCs w:val="24"/>
        </w:rPr>
        <w:t>Overlying</w:t>
      </w:r>
      <w:proofErr w:type="gramEnd"/>
      <w:r w:rsidR="005C1548" w:rsidRPr="005C1548">
        <w:rPr>
          <w:rFonts w:ascii="Times New Roman" w:hAnsi="Times New Roman"/>
          <w:b/>
          <w:i/>
          <w:sz w:val="24"/>
          <w:szCs w:val="24"/>
        </w:rPr>
        <w:t xml:space="preserve"> Vehicles at New Container Terminal of Mauritius (NCTM)</w:t>
      </w:r>
    </w:p>
    <w:p w:rsidR="005C1548" w:rsidRPr="00DD12E2" w:rsidRDefault="005C1548" w:rsidP="005C1548">
      <w:pPr>
        <w:pStyle w:val="ListParagraph"/>
        <w:spacing w:after="0" w:line="240" w:lineRule="auto"/>
        <w:ind w:left="0"/>
        <w:jc w:val="both"/>
        <w:rPr>
          <w:rFonts w:ascii="Times New Roman" w:hAnsi="Times New Roman"/>
          <w:sz w:val="24"/>
          <w:szCs w:val="24"/>
        </w:rPr>
      </w:pPr>
    </w:p>
    <w:p w:rsidR="005C1548" w:rsidRDefault="005C1548" w:rsidP="005C154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w:t>
      </w:r>
      <w:r w:rsidRPr="00DD12E2">
        <w:rPr>
          <w:rFonts w:ascii="Times New Roman" w:hAnsi="Times New Roman"/>
          <w:sz w:val="24"/>
          <w:szCs w:val="24"/>
        </w:rPr>
        <w:t xml:space="preserve"> sit</w:t>
      </w:r>
      <w:r>
        <w:rPr>
          <w:rFonts w:ascii="Times New Roman" w:hAnsi="Times New Roman"/>
          <w:sz w:val="24"/>
          <w:szCs w:val="24"/>
        </w:rPr>
        <w:t>e visit wa</w:t>
      </w:r>
      <w:r w:rsidR="00057629">
        <w:rPr>
          <w:rFonts w:ascii="Times New Roman" w:hAnsi="Times New Roman"/>
          <w:sz w:val="24"/>
          <w:szCs w:val="24"/>
        </w:rPr>
        <w:t>s carried out by my Officers</w:t>
      </w:r>
      <w:r>
        <w:rPr>
          <w:rFonts w:ascii="Times New Roman" w:hAnsi="Times New Roman"/>
          <w:sz w:val="24"/>
          <w:szCs w:val="24"/>
        </w:rPr>
        <w:t xml:space="preserve"> on 3 June 2015 at the NCTM.</w:t>
      </w:r>
      <w:r w:rsidRPr="00DD12E2">
        <w:rPr>
          <w:rFonts w:ascii="Times New Roman" w:hAnsi="Times New Roman"/>
          <w:sz w:val="24"/>
          <w:szCs w:val="24"/>
        </w:rPr>
        <w:t xml:space="preserve"> 15 vehicles</w:t>
      </w:r>
      <w:r>
        <w:rPr>
          <w:rFonts w:ascii="Times New Roman" w:hAnsi="Times New Roman"/>
          <w:sz w:val="24"/>
          <w:szCs w:val="24"/>
        </w:rPr>
        <w:t xml:space="preserve"> </w:t>
      </w:r>
      <w:r w:rsidRPr="00DD12E2">
        <w:rPr>
          <w:rFonts w:ascii="Times New Roman" w:hAnsi="Times New Roman"/>
          <w:sz w:val="24"/>
          <w:szCs w:val="24"/>
        </w:rPr>
        <w:t>were found overlying there</w:t>
      </w:r>
      <w:r>
        <w:rPr>
          <w:rFonts w:ascii="Times New Roman" w:hAnsi="Times New Roman"/>
          <w:sz w:val="24"/>
          <w:szCs w:val="24"/>
        </w:rPr>
        <w:t xml:space="preserve"> for more than </w:t>
      </w:r>
      <w:r w:rsidRPr="00DD12E2">
        <w:rPr>
          <w:rFonts w:ascii="Times New Roman" w:hAnsi="Times New Roman"/>
          <w:sz w:val="24"/>
          <w:szCs w:val="24"/>
        </w:rPr>
        <w:t xml:space="preserve">five years and have been subject to deterioration, thereby affecting their sale value. No records were available at the Seaport Operations Section regarding the ownership of these vehicles and the reasons for their non-clearance. </w:t>
      </w:r>
      <w:r w:rsidR="00057629">
        <w:rPr>
          <w:rFonts w:ascii="Times New Roman" w:hAnsi="Times New Roman"/>
          <w:sz w:val="24"/>
          <w:szCs w:val="24"/>
        </w:rPr>
        <w:t>O</w:t>
      </w:r>
      <w:r w:rsidRPr="00DD12E2">
        <w:rPr>
          <w:rFonts w:ascii="Times New Roman" w:hAnsi="Times New Roman"/>
          <w:sz w:val="24"/>
          <w:szCs w:val="24"/>
        </w:rPr>
        <w:t>ne of the vehicles was a high value luxury car. Had timely action been taken by Customs, significant proceeds could have been obtained from the sale of these vehicles.</w:t>
      </w:r>
    </w:p>
    <w:p w:rsidR="005C1548" w:rsidRDefault="005C1548" w:rsidP="005C1548">
      <w:pPr>
        <w:pStyle w:val="ListParagraph"/>
        <w:spacing w:after="0" w:line="240" w:lineRule="auto"/>
        <w:ind w:left="0"/>
        <w:jc w:val="both"/>
        <w:rPr>
          <w:rFonts w:ascii="Times New Roman" w:hAnsi="Times New Roman"/>
          <w:b/>
          <w:i/>
          <w:sz w:val="24"/>
          <w:szCs w:val="24"/>
        </w:rPr>
      </w:pPr>
    </w:p>
    <w:p w:rsidR="005C1548" w:rsidRDefault="005C1548" w:rsidP="005C1548">
      <w:pPr>
        <w:pStyle w:val="ListParagraph"/>
        <w:spacing w:after="0" w:line="240" w:lineRule="auto"/>
        <w:ind w:left="0"/>
        <w:jc w:val="both"/>
        <w:rPr>
          <w:rFonts w:ascii="Times New Roman" w:hAnsi="Times New Roman"/>
          <w:b/>
          <w:i/>
          <w:sz w:val="24"/>
          <w:szCs w:val="24"/>
        </w:rPr>
      </w:pPr>
    </w:p>
    <w:p w:rsidR="005C1548" w:rsidRDefault="002E666A" w:rsidP="005C1548">
      <w:pPr>
        <w:pStyle w:val="ListParagraph"/>
        <w:spacing w:after="0" w:line="240" w:lineRule="auto"/>
        <w:ind w:left="0"/>
        <w:jc w:val="both"/>
        <w:rPr>
          <w:rFonts w:ascii="Times New Roman" w:hAnsi="Times New Roman"/>
          <w:b/>
          <w:i/>
          <w:sz w:val="24"/>
          <w:szCs w:val="24"/>
        </w:rPr>
      </w:pPr>
      <w:r>
        <w:rPr>
          <w:rFonts w:ascii="Times New Roman" w:hAnsi="Times New Roman"/>
          <w:b/>
          <w:i/>
          <w:sz w:val="24"/>
          <w:szCs w:val="24"/>
        </w:rPr>
        <w:t>Management’s</w:t>
      </w:r>
      <w:r w:rsidR="00057629">
        <w:rPr>
          <w:rFonts w:ascii="Times New Roman" w:hAnsi="Times New Roman"/>
          <w:b/>
          <w:i/>
          <w:sz w:val="24"/>
          <w:szCs w:val="24"/>
        </w:rPr>
        <w:t xml:space="preserve"> Reply</w:t>
      </w:r>
    </w:p>
    <w:p w:rsidR="005C1548" w:rsidRDefault="005C1548" w:rsidP="005C1548">
      <w:pPr>
        <w:pStyle w:val="ListParagraph"/>
        <w:spacing w:after="0" w:line="240" w:lineRule="auto"/>
        <w:ind w:left="0"/>
        <w:jc w:val="both"/>
        <w:rPr>
          <w:rFonts w:ascii="Times New Roman" w:hAnsi="Times New Roman"/>
          <w:b/>
          <w:i/>
          <w:sz w:val="24"/>
          <w:szCs w:val="24"/>
        </w:rPr>
      </w:pPr>
    </w:p>
    <w:p w:rsidR="005C1548" w:rsidRPr="00D57525" w:rsidRDefault="005C1548" w:rsidP="005C1548">
      <w:pPr>
        <w:pStyle w:val="ListParagraph"/>
        <w:spacing w:after="0" w:line="240" w:lineRule="auto"/>
        <w:ind w:left="0"/>
        <w:jc w:val="both"/>
        <w:rPr>
          <w:rFonts w:ascii="Times New Roman" w:hAnsi="Times New Roman"/>
          <w:sz w:val="24"/>
          <w:szCs w:val="24"/>
        </w:rPr>
      </w:pPr>
      <w:r w:rsidRPr="00D57525">
        <w:rPr>
          <w:rFonts w:ascii="Times New Roman" w:hAnsi="Times New Roman"/>
          <w:sz w:val="24"/>
          <w:szCs w:val="24"/>
        </w:rPr>
        <w:t>MRA will organize dedicated auction sales for motor vehicles by September 2015.</w:t>
      </w:r>
    </w:p>
    <w:p w:rsidR="005C1548" w:rsidRDefault="005C1548" w:rsidP="005C1548">
      <w:pPr>
        <w:spacing w:after="0" w:line="240" w:lineRule="auto"/>
        <w:jc w:val="both"/>
        <w:rPr>
          <w:rFonts w:ascii="Times New Roman" w:hAnsi="Times New Roman"/>
          <w:b/>
          <w:i/>
          <w:sz w:val="24"/>
          <w:szCs w:val="24"/>
        </w:rPr>
      </w:pPr>
    </w:p>
    <w:p w:rsidR="005C1548" w:rsidRDefault="005C1548" w:rsidP="005C1548">
      <w:pPr>
        <w:spacing w:after="0" w:line="240" w:lineRule="auto"/>
        <w:jc w:val="both"/>
        <w:rPr>
          <w:rFonts w:ascii="Times New Roman" w:hAnsi="Times New Roman"/>
          <w:b/>
          <w:i/>
          <w:sz w:val="24"/>
          <w:szCs w:val="24"/>
        </w:rPr>
      </w:pPr>
    </w:p>
    <w:p w:rsidR="005C1548" w:rsidRPr="00DD12E2" w:rsidRDefault="00BF0E37" w:rsidP="005C1548">
      <w:pPr>
        <w:spacing w:after="0" w:line="240" w:lineRule="auto"/>
        <w:jc w:val="both"/>
        <w:rPr>
          <w:rFonts w:ascii="Times New Roman" w:hAnsi="Times New Roman"/>
          <w:b/>
          <w:i/>
          <w:sz w:val="24"/>
          <w:szCs w:val="24"/>
        </w:rPr>
      </w:pPr>
      <w:proofErr w:type="gramStart"/>
      <w:r>
        <w:rPr>
          <w:rFonts w:ascii="Times New Roman" w:hAnsi="Times New Roman"/>
          <w:b/>
          <w:i/>
          <w:sz w:val="24"/>
          <w:szCs w:val="24"/>
        </w:rPr>
        <w:t>6.</w:t>
      </w:r>
      <w:r w:rsidR="0025496D">
        <w:rPr>
          <w:rFonts w:ascii="Times New Roman" w:hAnsi="Times New Roman"/>
          <w:b/>
          <w:i/>
          <w:sz w:val="24"/>
          <w:szCs w:val="24"/>
        </w:rPr>
        <w:t>2</w:t>
      </w:r>
      <w:r w:rsidR="005C1548">
        <w:rPr>
          <w:rFonts w:ascii="Times New Roman" w:hAnsi="Times New Roman"/>
          <w:b/>
          <w:i/>
          <w:sz w:val="24"/>
          <w:szCs w:val="24"/>
        </w:rPr>
        <w:t xml:space="preserve">.3  </w:t>
      </w:r>
      <w:r w:rsidR="005C1548" w:rsidRPr="00DD12E2">
        <w:rPr>
          <w:rFonts w:ascii="Times New Roman" w:hAnsi="Times New Roman"/>
          <w:b/>
          <w:i/>
          <w:sz w:val="24"/>
          <w:szCs w:val="24"/>
        </w:rPr>
        <w:t>Overlying</w:t>
      </w:r>
      <w:proofErr w:type="gramEnd"/>
      <w:r w:rsidR="005C1548" w:rsidRPr="00DD12E2">
        <w:rPr>
          <w:rFonts w:ascii="Times New Roman" w:hAnsi="Times New Roman"/>
          <w:b/>
          <w:i/>
          <w:sz w:val="24"/>
          <w:szCs w:val="24"/>
        </w:rPr>
        <w:t xml:space="preserve"> Containers at Cargo Handling Corporation Ltd (CHCL)</w:t>
      </w:r>
    </w:p>
    <w:p w:rsidR="005C1548" w:rsidRDefault="005C1548" w:rsidP="005C1548">
      <w:pPr>
        <w:spacing w:after="0" w:line="240" w:lineRule="auto"/>
        <w:jc w:val="both"/>
        <w:rPr>
          <w:rFonts w:ascii="Times New Roman" w:hAnsi="Times New Roman"/>
          <w:sz w:val="24"/>
          <w:szCs w:val="24"/>
        </w:rPr>
      </w:pPr>
    </w:p>
    <w:p w:rsidR="005C1548" w:rsidRPr="00DD12E2" w:rsidRDefault="005C1548" w:rsidP="005C1548">
      <w:pPr>
        <w:spacing w:after="0" w:line="240" w:lineRule="auto"/>
        <w:jc w:val="both"/>
        <w:rPr>
          <w:rFonts w:ascii="Times New Roman" w:hAnsi="Times New Roman"/>
          <w:sz w:val="24"/>
          <w:szCs w:val="24"/>
        </w:rPr>
      </w:pPr>
      <w:r>
        <w:rPr>
          <w:rFonts w:ascii="Times New Roman" w:hAnsi="Times New Roman"/>
          <w:sz w:val="24"/>
          <w:szCs w:val="24"/>
        </w:rPr>
        <w:t>T</w:t>
      </w:r>
      <w:r w:rsidRPr="00DD12E2">
        <w:rPr>
          <w:rFonts w:ascii="Times New Roman" w:hAnsi="Times New Roman"/>
          <w:sz w:val="24"/>
          <w:szCs w:val="24"/>
        </w:rPr>
        <w:t xml:space="preserve">here were 99 imported containers which were overlying for more than </w:t>
      </w:r>
      <w:r>
        <w:rPr>
          <w:rFonts w:ascii="Times New Roman" w:hAnsi="Times New Roman"/>
          <w:sz w:val="24"/>
          <w:szCs w:val="24"/>
        </w:rPr>
        <w:t xml:space="preserve">six months </w:t>
      </w:r>
      <w:r w:rsidRPr="00DD12E2">
        <w:rPr>
          <w:rFonts w:ascii="Times New Roman" w:hAnsi="Times New Roman"/>
          <w:sz w:val="24"/>
          <w:szCs w:val="24"/>
        </w:rPr>
        <w:t>at CHCL</w:t>
      </w:r>
      <w:r w:rsidR="00057629">
        <w:rPr>
          <w:rFonts w:ascii="Times New Roman" w:hAnsi="Times New Roman"/>
          <w:sz w:val="24"/>
          <w:szCs w:val="24"/>
        </w:rPr>
        <w:t>, including</w:t>
      </w:r>
      <w:r w:rsidRPr="00DD12E2">
        <w:rPr>
          <w:rFonts w:ascii="Times New Roman" w:hAnsi="Times New Roman"/>
          <w:sz w:val="24"/>
          <w:szCs w:val="24"/>
        </w:rPr>
        <w:t xml:space="preserve"> </w:t>
      </w:r>
      <w:r>
        <w:rPr>
          <w:rFonts w:ascii="Times New Roman" w:hAnsi="Times New Roman"/>
          <w:sz w:val="24"/>
          <w:szCs w:val="24"/>
        </w:rPr>
        <w:t>26</w:t>
      </w:r>
      <w:r w:rsidRPr="00DD12E2">
        <w:rPr>
          <w:rFonts w:ascii="Times New Roman" w:hAnsi="Times New Roman"/>
          <w:sz w:val="24"/>
          <w:szCs w:val="24"/>
        </w:rPr>
        <w:t xml:space="preserve"> contain</w:t>
      </w:r>
      <w:r>
        <w:rPr>
          <w:rFonts w:ascii="Times New Roman" w:hAnsi="Times New Roman"/>
          <w:sz w:val="24"/>
          <w:szCs w:val="24"/>
        </w:rPr>
        <w:t>ers, which have remained there</w:t>
      </w:r>
      <w:r w:rsidRPr="00DD12E2">
        <w:rPr>
          <w:rFonts w:ascii="Times New Roman" w:hAnsi="Times New Roman"/>
          <w:sz w:val="24"/>
          <w:szCs w:val="24"/>
        </w:rPr>
        <w:t xml:space="preserve"> for </w:t>
      </w:r>
      <w:r>
        <w:rPr>
          <w:rFonts w:ascii="Times New Roman" w:hAnsi="Times New Roman"/>
          <w:sz w:val="24"/>
          <w:szCs w:val="24"/>
        </w:rPr>
        <w:t>a period ranging from two to four</w:t>
      </w:r>
      <w:r w:rsidRPr="00DD12E2">
        <w:rPr>
          <w:rFonts w:ascii="Times New Roman" w:hAnsi="Times New Roman"/>
          <w:sz w:val="24"/>
          <w:szCs w:val="24"/>
        </w:rPr>
        <w:t xml:space="preserve"> years. These containers held valuable items such a</w:t>
      </w:r>
      <w:r>
        <w:rPr>
          <w:rFonts w:ascii="Times New Roman" w:hAnsi="Times New Roman"/>
          <w:sz w:val="24"/>
          <w:szCs w:val="24"/>
        </w:rPr>
        <w:t xml:space="preserve">s vehicles, plumbing materials and </w:t>
      </w:r>
      <w:r w:rsidRPr="00DD12E2">
        <w:rPr>
          <w:rFonts w:ascii="Times New Roman" w:hAnsi="Times New Roman"/>
          <w:sz w:val="24"/>
          <w:szCs w:val="24"/>
        </w:rPr>
        <w:t>new spare parts.</w:t>
      </w:r>
      <w:r>
        <w:rPr>
          <w:rFonts w:ascii="Times New Roman" w:hAnsi="Times New Roman"/>
          <w:sz w:val="24"/>
          <w:szCs w:val="24"/>
        </w:rPr>
        <w:t xml:space="preserve"> </w:t>
      </w:r>
      <w:r w:rsidRPr="00DD12E2">
        <w:rPr>
          <w:rFonts w:ascii="Times New Roman" w:hAnsi="Times New Roman"/>
          <w:sz w:val="24"/>
          <w:szCs w:val="24"/>
        </w:rPr>
        <w:t>Given that Customs has not taken prompt action for disposal of these unclaimed containers, there is the likelihood that substantial revenue might have been for</w:t>
      </w:r>
      <w:r>
        <w:rPr>
          <w:rFonts w:ascii="Times New Roman" w:hAnsi="Times New Roman"/>
          <w:sz w:val="24"/>
          <w:szCs w:val="24"/>
        </w:rPr>
        <w:t>e</w:t>
      </w:r>
      <w:r w:rsidRPr="00DD12E2">
        <w:rPr>
          <w:rFonts w:ascii="Times New Roman" w:hAnsi="Times New Roman"/>
          <w:sz w:val="24"/>
          <w:szCs w:val="24"/>
        </w:rPr>
        <w:t xml:space="preserve">gone. Further delay in selling these goods will negatively impact on their disposal value. </w:t>
      </w:r>
    </w:p>
    <w:p w:rsidR="00BD5EE8" w:rsidRDefault="00BD5EE8" w:rsidP="005C1548">
      <w:pPr>
        <w:spacing w:after="0" w:line="240" w:lineRule="auto"/>
        <w:jc w:val="both"/>
        <w:rPr>
          <w:rFonts w:ascii="Times New Roman" w:hAnsi="Times New Roman"/>
          <w:i/>
          <w:sz w:val="24"/>
          <w:szCs w:val="24"/>
        </w:rPr>
      </w:pPr>
    </w:p>
    <w:p w:rsidR="005C1548" w:rsidRDefault="002E666A" w:rsidP="005C1548">
      <w:pPr>
        <w:pStyle w:val="ListParagraph"/>
        <w:spacing w:after="0" w:line="240" w:lineRule="auto"/>
        <w:ind w:left="0"/>
        <w:jc w:val="both"/>
        <w:rPr>
          <w:rFonts w:ascii="Times New Roman" w:hAnsi="Times New Roman"/>
          <w:b/>
          <w:i/>
          <w:sz w:val="24"/>
          <w:szCs w:val="24"/>
        </w:rPr>
      </w:pPr>
      <w:r>
        <w:rPr>
          <w:rFonts w:ascii="Times New Roman" w:hAnsi="Times New Roman"/>
          <w:b/>
          <w:i/>
          <w:sz w:val="24"/>
          <w:szCs w:val="24"/>
        </w:rPr>
        <w:t>Management’s</w:t>
      </w:r>
      <w:r w:rsidR="00057629">
        <w:rPr>
          <w:rFonts w:ascii="Times New Roman" w:hAnsi="Times New Roman"/>
          <w:b/>
          <w:i/>
          <w:sz w:val="24"/>
          <w:szCs w:val="24"/>
        </w:rPr>
        <w:t xml:space="preserve"> Reply</w:t>
      </w:r>
    </w:p>
    <w:p w:rsidR="005C1548" w:rsidRDefault="005C1548" w:rsidP="005C1548">
      <w:pPr>
        <w:pStyle w:val="ListParagraph"/>
        <w:spacing w:after="0" w:line="240" w:lineRule="auto"/>
        <w:ind w:left="0"/>
        <w:jc w:val="both"/>
        <w:rPr>
          <w:rFonts w:ascii="Times New Roman" w:hAnsi="Times New Roman"/>
          <w:b/>
          <w:i/>
          <w:sz w:val="24"/>
          <w:szCs w:val="24"/>
        </w:rPr>
      </w:pPr>
    </w:p>
    <w:p w:rsidR="005C1548" w:rsidRDefault="005C1548" w:rsidP="005C1548">
      <w:pPr>
        <w:pStyle w:val="ListParagraph"/>
        <w:spacing w:after="0" w:line="240" w:lineRule="auto"/>
        <w:ind w:left="0"/>
        <w:jc w:val="both"/>
        <w:rPr>
          <w:rFonts w:ascii="Times New Roman" w:hAnsi="Times New Roman"/>
          <w:i/>
          <w:sz w:val="24"/>
          <w:szCs w:val="24"/>
        </w:rPr>
      </w:pPr>
      <w:r>
        <w:rPr>
          <w:rFonts w:ascii="Times New Roman" w:hAnsi="Times New Roman"/>
          <w:sz w:val="24"/>
          <w:szCs w:val="24"/>
        </w:rPr>
        <w:t>An action plan has already been prepared to proceed with the timely transfer and disposal of overlying goods.</w:t>
      </w:r>
    </w:p>
    <w:p w:rsidR="005C1548" w:rsidRDefault="005C1548" w:rsidP="005C1548">
      <w:pPr>
        <w:spacing w:after="0" w:line="240" w:lineRule="auto"/>
        <w:jc w:val="both"/>
        <w:rPr>
          <w:rFonts w:ascii="Times New Roman" w:hAnsi="Times New Roman"/>
          <w:i/>
          <w:sz w:val="24"/>
          <w:szCs w:val="24"/>
        </w:rPr>
      </w:pPr>
    </w:p>
    <w:p w:rsidR="005C1548" w:rsidRDefault="005C1548" w:rsidP="005C1548">
      <w:pPr>
        <w:spacing w:after="0" w:line="240" w:lineRule="auto"/>
        <w:jc w:val="both"/>
        <w:rPr>
          <w:rFonts w:ascii="Times New Roman" w:hAnsi="Times New Roman"/>
          <w:b/>
          <w:i/>
          <w:sz w:val="24"/>
          <w:szCs w:val="24"/>
        </w:rPr>
      </w:pPr>
    </w:p>
    <w:p w:rsidR="005C1548" w:rsidRPr="00DD12E2" w:rsidRDefault="00BF0E37" w:rsidP="005C1548">
      <w:pPr>
        <w:spacing w:after="0" w:line="240" w:lineRule="auto"/>
        <w:jc w:val="both"/>
        <w:rPr>
          <w:rFonts w:ascii="Times New Roman" w:hAnsi="Times New Roman"/>
          <w:b/>
          <w:i/>
          <w:sz w:val="24"/>
          <w:szCs w:val="24"/>
        </w:rPr>
      </w:pPr>
      <w:proofErr w:type="gramStart"/>
      <w:r>
        <w:rPr>
          <w:rFonts w:ascii="Times New Roman" w:hAnsi="Times New Roman"/>
          <w:b/>
          <w:i/>
          <w:sz w:val="24"/>
          <w:szCs w:val="24"/>
        </w:rPr>
        <w:t>6.</w:t>
      </w:r>
      <w:r w:rsidR="0025496D">
        <w:rPr>
          <w:rFonts w:ascii="Times New Roman" w:hAnsi="Times New Roman"/>
          <w:b/>
          <w:i/>
          <w:sz w:val="24"/>
          <w:szCs w:val="24"/>
        </w:rPr>
        <w:t>2</w:t>
      </w:r>
      <w:r w:rsidR="005C1548">
        <w:rPr>
          <w:rFonts w:ascii="Times New Roman" w:hAnsi="Times New Roman"/>
          <w:b/>
          <w:i/>
          <w:sz w:val="24"/>
          <w:szCs w:val="24"/>
        </w:rPr>
        <w:t xml:space="preserve">.4  </w:t>
      </w:r>
      <w:r w:rsidR="005C1548" w:rsidRPr="00DD12E2">
        <w:rPr>
          <w:rFonts w:ascii="Times New Roman" w:hAnsi="Times New Roman"/>
          <w:b/>
          <w:i/>
          <w:sz w:val="24"/>
          <w:szCs w:val="24"/>
        </w:rPr>
        <w:t>Detained</w:t>
      </w:r>
      <w:proofErr w:type="gramEnd"/>
      <w:r w:rsidR="005C1548" w:rsidRPr="00DD12E2">
        <w:rPr>
          <w:rFonts w:ascii="Times New Roman" w:hAnsi="Times New Roman"/>
          <w:b/>
          <w:i/>
          <w:sz w:val="24"/>
          <w:szCs w:val="24"/>
        </w:rPr>
        <w:t xml:space="preserve"> Goods at Customs Warehouse </w:t>
      </w:r>
    </w:p>
    <w:p w:rsidR="005C1548" w:rsidRDefault="005C1548" w:rsidP="005C1548">
      <w:pPr>
        <w:spacing w:after="0" w:line="240" w:lineRule="auto"/>
        <w:jc w:val="both"/>
        <w:rPr>
          <w:rFonts w:ascii="Times New Roman" w:hAnsi="Times New Roman"/>
          <w:sz w:val="24"/>
          <w:szCs w:val="24"/>
        </w:rPr>
      </w:pPr>
    </w:p>
    <w:p w:rsidR="005C1548" w:rsidRPr="00DD12E2" w:rsidRDefault="005C1548" w:rsidP="005C1548">
      <w:pPr>
        <w:spacing w:after="0" w:line="240" w:lineRule="auto"/>
        <w:jc w:val="both"/>
        <w:rPr>
          <w:rFonts w:ascii="Times New Roman" w:hAnsi="Times New Roman"/>
          <w:sz w:val="24"/>
          <w:szCs w:val="24"/>
        </w:rPr>
      </w:pPr>
      <w:r>
        <w:rPr>
          <w:rFonts w:ascii="Times New Roman" w:hAnsi="Times New Roman"/>
          <w:sz w:val="24"/>
          <w:szCs w:val="24"/>
        </w:rPr>
        <w:t>There were several</w:t>
      </w:r>
      <w:r w:rsidRPr="00DD12E2">
        <w:rPr>
          <w:rFonts w:ascii="Times New Roman" w:hAnsi="Times New Roman"/>
          <w:sz w:val="24"/>
          <w:szCs w:val="24"/>
        </w:rPr>
        <w:t xml:space="preserve"> items lying at the Warehouse which had been identified by Customs for destruction since January 2013. These include</w:t>
      </w:r>
      <w:r>
        <w:rPr>
          <w:rFonts w:ascii="Times New Roman" w:hAnsi="Times New Roman"/>
          <w:sz w:val="24"/>
          <w:szCs w:val="24"/>
        </w:rPr>
        <w:t>d electronic wastes,</w:t>
      </w:r>
      <w:r w:rsidRPr="00DD12E2">
        <w:rPr>
          <w:rFonts w:ascii="Times New Roman" w:hAnsi="Times New Roman"/>
          <w:sz w:val="24"/>
          <w:szCs w:val="24"/>
        </w:rPr>
        <w:t xml:space="preserve"> medical produc</w:t>
      </w:r>
      <w:r w:rsidR="00057629">
        <w:rPr>
          <w:rFonts w:ascii="Times New Roman" w:hAnsi="Times New Roman"/>
          <w:sz w:val="24"/>
          <w:szCs w:val="24"/>
        </w:rPr>
        <w:t>ts and hazardous waste</w:t>
      </w:r>
      <w:r w:rsidRPr="00DD12E2">
        <w:rPr>
          <w:rFonts w:ascii="Times New Roman" w:hAnsi="Times New Roman"/>
          <w:sz w:val="24"/>
          <w:szCs w:val="24"/>
        </w:rPr>
        <w:t>. However, no action has been taken to date, that is, after more than two years, for their disposal.</w:t>
      </w:r>
    </w:p>
    <w:p w:rsidR="005C1548" w:rsidRDefault="005C1548" w:rsidP="005C1548">
      <w:pPr>
        <w:spacing w:after="0" w:line="240" w:lineRule="auto"/>
        <w:jc w:val="both"/>
        <w:rPr>
          <w:rFonts w:ascii="Times New Roman" w:hAnsi="Times New Roman"/>
          <w:b/>
          <w:i/>
          <w:sz w:val="24"/>
          <w:szCs w:val="24"/>
        </w:rPr>
      </w:pPr>
    </w:p>
    <w:p w:rsidR="007A4003" w:rsidRDefault="002E666A" w:rsidP="005C1548">
      <w:pPr>
        <w:spacing w:after="0" w:line="240" w:lineRule="auto"/>
        <w:jc w:val="both"/>
        <w:rPr>
          <w:rFonts w:ascii="Times New Roman" w:hAnsi="Times New Roman"/>
          <w:b/>
          <w:i/>
          <w:sz w:val="24"/>
          <w:szCs w:val="24"/>
        </w:rPr>
      </w:pPr>
      <w:r>
        <w:rPr>
          <w:rFonts w:ascii="Times New Roman" w:hAnsi="Times New Roman"/>
          <w:b/>
          <w:i/>
          <w:sz w:val="24"/>
          <w:szCs w:val="24"/>
        </w:rPr>
        <w:t>Management’s</w:t>
      </w:r>
      <w:r w:rsidR="00057629">
        <w:rPr>
          <w:rFonts w:ascii="Times New Roman" w:hAnsi="Times New Roman"/>
          <w:b/>
          <w:i/>
          <w:sz w:val="24"/>
          <w:szCs w:val="24"/>
        </w:rPr>
        <w:t xml:space="preserve"> Reply</w:t>
      </w:r>
    </w:p>
    <w:p w:rsidR="007A4003" w:rsidRDefault="007A4003" w:rsidP="005C1548">
      <w:pPr>
        <w:spacing w:after="0" w:line="240" w:lineRule="auto"/>
        <w:jc w:val="both"/>
        <w:rPr>
          <w:rFonts w:ascii="Times New Roman" w:hAnsi="Times New Roman"/>
          <w:b/>
          <w:i/>
          <w:sz w:val="24"/>
          <w:szCs w:val="24"/>
        </w:rPr>
      </w:pPr>
    </w:p>
    <w:p w:rsidR="007A4003" w:rsidRDefault="007A4003" w:rsidP="007A4003">
      <w:pPr>
        <w:spacing w:after="0" w:line="240" w:lineRule="auto"/>
        <w:jc w:val="both"/>
        <w:rPr>
          <w:rFonts w:ascii="Times New Roman" w:hAnsi="Times New Roman"/>
          <w:sz w:val="24"/>
          <w:szCs w:val="24"/>
        </w:rPr>
      </w:pPr>
      <w:r>
        <w:rPr>
          <w:rFonts w:ascii="Times New Roman" w:hAnsi="Times New Roman"/>
          <w:sz w:val="24"/>
          <w:szCs w:val="24"/>
        </w:rPr>
        <w:t>No appropriate site was available</w:t>
      </w:r>
      <w:r w:rsidR="000B054E">
        <w:rPr>
          <w:rFonts w:ascii="Times New Roman" w:hAnsi="Times New Roman"/>
          <w:sz w:val="24"/>
          <w:szCs w:val="24"/>
        </w:rPr>
        <w:t xml:space="preserve"> for the destruction of goods. </w:t>
      </w:r>
      <w:r>
        <w:rPr>
          <w:rFonts w:ascii="Times New Roman" w:hAnsi="Times New Roman"/>
          <w:sz w:val="24"/>
          <w:szCs w:val="24"/>
        </w:rPr>
        <w:t xml:space="preserve">Sites for destruction of hazardous goods and for </w:t>
      </w:r>
      <w:proofErr w:type="gramStart"/>
      <w:r>
        <w:rPr>
          <w:rFonts w:ascii="Times New Roman" w:hAnsi="Times New Roman"/>
          <w:sz w:val="24"/>
          <w:szCs w:val="24"/>
        </w:rPr>
        <w:t>waste recycling have</w:t>
      </w:r>
      <w:proofErr w:type="gramEnd"/>
      <w:r>
        <w:rPr>
          <w:rFonts w:ascii="Times New Roman" w:hAnsi="Times New Roman"/>
          <w:sz w:val="24"/>
          <w:szCs w:val="24"/>
        </w:rPr>
        <w:t xml:space="preserve"> been identified as per paragraph 124-125 of Budget Speech 2015 and the Mauritius Revenue Authority will do needful.</w:t>
      </w:r>
    </w:p>
    <w:p w:rsidR="007A4003" w:rsidRDefault="007A4003" w:rsidP="007A4003">
      <w:pPr>
        <w:spacing w:after="0" w:line="240" w:lineRule="auto"/>
        <w:jc w:val="both"/>
        <w:rPr>
          <w:rFonts w:ascii="Times New Roman" w:hAnsi="Times New Roman"/>
          <w:sz w:val="24"/>
          <w:szCs w:val="24"/>
        </w:rPr>
      </w:pPr>
    </w:p>
    <w:p w:rsidR="00BD5EE8" w:rsidRDefault="00BD5EE8" w:rsidP="007A4003">
      <w:pPr>
        <w:spacing w:after="0" w:line="240" w:lineRule="auto"/>
        <w:jc w:val="both"/>
        <w:rPr>
          <w:rFonts w:ascii="Times New Roman" w:hAnsi="Times New Roman"/>
          <w:sz w:val="24"/>
          <w:szCs w:val="24"/>
        </w:rPr>
      </w:pPr>
    </w:p>
    <w:p w:rsidR="005C1548" w:rsidRDefault="005C1548" w:rsidP="005C1548">
      <w:pPr>
        <w:spacing w:after="0" w:line="240" w:lineRule="auto"/>
        <w:jc w:val="both"/>
        <w:rPr>
          <w:rFonts w:ascii="Times New Roman" w:hAnsi="Times New Roman"/>
          <w:b/>
          <w:i/>
          <w:sz w:val="24"/>
          <w:szCs w:val="24"/>
        </w:rPr>
      </w:pPr>
      <w:r w:rsidRPr="00DD12E2">
        <w:rPr>
          <w:rFonts w:ascii="Times New Roman" w:hAnsi="Times New Roman"/>
          <w:b/>
          <w:i/>
          <w:sz w:val="24"/>
          <w:szCs w:val="24"/>
        </w:rPr>
        <w:t>Recommendations</w:t>
      </w:r>
    </w:p>
    <w:p w:rsidR="005C1548" w:rsidRPr="00DD12E2" w:rsidRDefault="005C1548" w:rsidP="005C1548">
      <w:pPr>
        <w:spacing w:after="0" w:line="240" w:lineRule="auto"/>
        <w:jc w:val="both"/>
        <w:rPr>
          <w:rFonts w:ascii="Times New Roman" w:hAnsi="Times New Roman"/>
          <w:b/>
          <w:i/>
          <w:sz w:val="24"/>
          <w:szCs w:val="24"/>
        </w:rPr>
      </w:pPr>
    </w:p>
    <w:p w:rsidR="005C1548" w:rsidRDefault="005C1548" w:rsidP="00DD7842">
      <w:pPr>
        <w:pStyle w:val="ListParagraph"/>
        <w:numPr>
          <w:ilvl w:val="0"/>
          <w:numId w:val="14"/>
        </w:numPr>
        <w:spacing w:after="0" w:line="240" w:lineRule="auto"/>
        <w:ind w:left="360"/>
        <w:jc w:val="both"/>
        <w:rPr>
          <w:rFonts w:ascii="Times New Roman" w:hAnsi="Times New Roman"/>
          <w:sz w:val="24"/>
          <w:szCs w:val="24"/>
        </w:rPr>
      </w:pPr>
      <w:r w:rsidRPr="004B2A89">
        <w:rPr>
          <w:rFonts w:ascii="Times New Roman" w:hAnsi="Times New Roman"/>
          <w:sz w:val="24"/>
          <w:szCs w:val="24"/>
        </w:rPr>
        <w:t>Proper control should be exercised on overlying goods.</w:t>
      </w:r>
    </w:p>
    <w:p w:rsidR="005C1548" w:rsidRPr="004B2A89" w:rsidRDefault="005C1548" w:rsidP="00DD7842">
      <w:pPr>
        <w:pStyle w:val="ListParagraph"/>
        <w:spacing w:after="0" w:line="240" w:lineRule="auto"/>
        <w:ind w:left="0"/>
        <w:jc w:val="both"/>
        <w:rPr>
          <w:rFonts w:ascii="Times New Roman" w:hAnsi="Times New Roman"/>
          <w:sz w:val="24"/>
          <w:szCs w:val="24"/>
        </w:rPr>
      </w:pPr>
    </w:p>
    <w:p w:rsidR="005C1548" w:rsidRDefault="005C1548" w:rsidP="00DD7842">
      <w:pPr>
        <w:pStyle w:val="ListParagraph"/>
        <w:numPr>
          <w:ilvl w:val="0"/>
          <w:numId w:val="14"/>
        </w:numPr>
        <w:spacing w:after="0" w:line="240" w:lineRule="auto"/>
        <w:ind w:left="360"/>
        <w:jc w:val="both"/>
        <w:rPr>
          <w:rFonts w:ascii="Times New Roman" w:hAnsi="Times New Roman"/>
          <w:sz w:val="24"/>
          <w:szCs w:val="24"/>
        </w:rPr>
      </w:pPr>
      <w:r w:rsidRPr="004B2A89">
        <w:rPr>
          <w:rFonts w:ascii="Times New Roman" w:hAnsi="Times New Roman"/>
          <w:sz w:val="24"/>
          <w:szCs w:val="24"/>
        </w:rPr>
        <w:t>Timely remedial action should be taken to transfer goods to the auction sales to m</w:t>
      </w:r>
      <w:r>
        <w:rPr>
          <w:rFonts w:ascii="Times New Roman" w:hAnsi="Times New Roman"/>
          <w:sz w:val="24"/>
          <w:szCs w:val="24"/>
        </w:rPr>
        <w:t>aximize revenue as</w:t>
      </w:r>
      <w:r w:rsidRPr="004B2A89">
        <w:rPr>
          <w:rFonts w:ascii="Times New Roman" w:hAnsi="Times New Roman"/>
          <w:sz w:val="24"/>
          <w:szCs w:val="24"/>
        </w:rPr>
        <w:t xml:space="preserve"> long outstanding items are likely to bring in lesser revenue.</w:t>
      </w:r>
    </w:p>
    <w:p w:rsidR="005C1548" w:rsidRDefault="005C1548" w:rsidP="00DD7842">
      <w:pPr>
        <w:pStyle w:val="ListParagraph"/>
        <w:numPr>
          <w:ilvl w:val="0"/>
          <w:numId w:val="14"/>
        </w:numPr>
        <w:spacing w:after="0" w:line="240" w:lineRule="auto"/>
        <w:ind w:left="360"/>
        <w:jc w:val="both"/>
        <w:rPr>
          <w:rFonts w:ascii="Times New Roman" w:hAnsi="Times New Roman"/>
          <w:sz w:val="24"/>
          <w:szCs w:val="24"/>
        </w:rPr>
      </w:pPr>
      <w:r w:rsidRPr="004B2A89">
        <w:rPr>
          <w:rFonts w:ascii="Times New Roman" w:hAnsi="Times New Roman"/>
          <w:sz w:val="24"/>
          <w:szCs w:val="24"/>
        </w:rPr>
        <w:lastRenderedPageBreak/>
        <w:t xml:space="preserve">There is a need to carry out a complete survey of overlying containers and goods at freight </w:t>
      </w:r>
      <w:r>
        <w:rPr>
          <w:rFonts w:ascii="Times New Roman" w:hAnsi="Times New Roman"/>
          <w:sz w:val="24"/>
          <w:szCs w:val="24"/>
        </w:rPr>
        <w:t xml:space="preserve">and landing </w:t>
      </w:r>
      <w:r w:rsidRPr="004B2A89">
        <w:rPr>
          <w:rFonts w:ascii="Times New Roman" w:hAnsi="Times New Roman"/>
          <w:sz w:val="24"/>
          <w:szCs w:val="24"/>
        </w:rPr>
        <w:t>stations. A realistic period/interval to carry out such surveys has to be set out by Customs for the timely transfer of items to auction for disposal.</w:t>
      </w:r>
    </w:p>
    <w:p w:rsidR="005C1548" w:rsidRPr="004B2A89" w:rsidRDefault="005C1548" w:rsidP="00DD7842">
      <w:pPr>
        <w:pStyle w:val="ListParagraph"/>
        <w:spacing w:after="0" w:line="240" w:lineRule="auto"/>
        <w:ind w:left="0"/>
        <w:jc w:val="both"/>
        <w:rPr>
          <w:rFonts w:ascii="Times New Roman" w:hAnsi="Times New Roman"/>
          <w:sz w:val="24"/>
          <w:szCs w:val="24"/>
        </w:rPr>
      </w:pPr>
    </w:p>
    <w:p w:rsidR="005C1548" w:rsidRDefault="005C1548" w:rsidP="00DD7842">
      <w:pPr>
        <w:pStyle w:val="ListParagraph"/>
        <w:numPr>
          <w:ilvl w:val="0"/>
          <w:numId w:val="14"/>
        </w:numPr>
        <w:spacing w:after="0" w:line="240" w:lineRule="auto"/>
        <w:ind w:left="360"/>
        <w:jc w:val="both"/>
        <w:rPr>
          <w:rFonts w:ascii="Times New Roman" w:hAnsi="Times New Roman"/>
          <w:sz w:val="24"/>
          <w:szCs w:val="24"/>
        </w:rPr>
      </w:pPr>
      <w:r>
        <w:rPr>
          <w:rFonts w:ascii="Times New Roman" w:hAnsi="Times New Roman"/>
          <w:sz w:val="24"/>
          <w:szCs w:val="24"/>
        </w:rPr>
        <w:t>Procedures should be initiated for disposal of hazardous waste in</w:t>
      </w:r>
      <w:r w:rsidRPr="004B2A89">
        <w:rPr>
          <w:rFonts w:ascii="Times New Roman" w:hAnsi="Times New Roman"/>
          <w:sz w:val="24"/>
          <w:szCs w:val="24"/>
        </w:rPr>
        <w:t xml:space="preserve"> a timely manner</w:t>
      </w:r>
      <w:r>
        <w:rPr>
          <w:rFonts w:ascii="Times New Roman" w:hAnsi="Times New Roman"/>
          <w:sz w:val="24"/>
          <w:szCs w:val="24"/>
        </w:rPr>
        <w:t>.</w:t>
      </w:r>
    </w:p>
    <w:p w:rsidR="007A4003" w:rsidRDefault="007A4003" w:rsidP="007A4003">
      <w:pPr>
        <w:pStyle w:val="ListParagraph"/>
        <w:spacing w:after="0" w:line="240" w:lineRule="auto"/>
        <w:ind w:left="360"/>
        <w:jc w:val="both"/>
        <w:rPr>
          <w:rFonts w:ascii="Times New Roman" w:hAnsi="Times New Roman"/>
          <w:b/>
          <w:i/>
          <w:sz w:val="24"/>
          <w:szCs w:val="24"/>
        </w:rPr>
      </w:pPr>
    </w:p>
    <w:p w:rsidR="00DC3B93" w:rsidRPr="00E300A8" w:rsidRDefault="002E666A" w:rsidP="00DC3B93">
      <w:pPr>
        <w:spacing w:after="0" w:line="240" w:lineRule="auto"/>
        <w:jc w:val="both"/>
        <w:rPr>
          <w:rFonts w:ascii="Times New Roman" w:hAnsi="Times New Roman"/>
          <w:b/>
          <w:i/>
          <w:sz w:val="24"/>
          <w:szCs w:val="24"/>
        </w:rPr>
      </w:pPr>
      <w:r>
        <w:rPr>
          <w:rFonts w:ascii="Times New Roman" w:hAnsi="Times New Roman"/>
          <w:b/>
          <w:i/>
          <w:sz w:val="24"/>
          <w:szCs w:val="24"/>
        </w:rPr>
        <w:t>Management’s</w:t>
      </w:r>
      <w:r w:rsidR="009C13D3">
        <w:rPr>
          <w:rFonts w:ascii="Times New Roman" w:hAnsi="Times New Roman"/>
          <w:b/>
          <w:i/>
          <w:sz w:val="24"/>
          <w:szCs w:val="24"/>
        </w:rPr>
        <w:t xml:space="preserve"> Reply</w:t>
      </w:r>
    </w:p>
    <w:p w:rsidR="00DC3B93" w:rsidRDefault="00DC3B93" w:rsidP="00DC3B93">
      <w:pPr>
        <w:spacing w:after="0" w:line="240" w:lineRule="auto"/>
        <w:jc w:val="both"/>
        <w:rPr>
          <w:rFonts w:ascii="Times New Roman" w:hAnsi="Times New Roman"/>
          <w:sz w:val="24"/>
          <w:szCs w:val="24"/>
        </w:rPr>
      </w:pPr>
    </w:p>
    <w:p w:rsidR="00DC3B93" w:rsidRDefault="00DC3B93" w:rsidP="007A4003">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Proper mechanism will be put in order that overlying goods are transferred for auction sale in a timely manner as per law and established procedures.</w:t>
      </w:r>
    </w:p>
    <w:p w:rsidR="007A4003" w:rsidRDefault="007A4003" w:rsidP="007A4003">
      <w:pPr>
        <w:pStyle w:val="ListParagraph"/>
        <w:spacing w:after="0" w:line="240" w:lineRule="auto"/>
        <w:ind w:left="360"/>
        <w:jc w:val="both"/>
        <w:rPr>
          <w:rFonts w:ascii="Times New Roman" w:hAnsi="Times New Roman"/>
          <w:sz w:val="24"/>
          <w:szCs w:val="24"/>
        </w:rPr>
      </w:pPr>
    </w:p>
    <w:p w:rsidR="00DC3B93" w:rsidRDefault="00DC3B93" w:rsidP="007A4003">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The number of auctions to be carried out by Customs will be increased substantially.</w:t>
      </w:r>
    </w:p>
    <w:p w:rsidR="007A4003" w:rsidRDefault="007A4003" w:rsidP="007A4003">
      <w:pPr>
        <w:pStyle w:val="ListParagraph"/>
        <w:spacing w:after="0" w:line="240" w:lineRule="auto"/>
        <w:ind w:left="360"/>
        <w:jc w:val="both"/>
        <w:rPr>
          <w:rFonts w:ascii="Times New Roman" w:hAnsi="Times New Roman"/>
          <w:sz w:val="24"/>
          <w:szCs w:val="24"/>
        </w:rPr>
      </w:pPr>
    </w:p>
    <w:p w:rsidR="00DC3B93" w:rsidRDefault="00DC3B93" w:rsidP="007A4003">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In order to safeguard revenue, the MRA will consider offering for auction, on a priority basis, goods which have higher market value and are easily saleable.</w:t>
      </w:r>
    </w:p>
    <w:p w:rsidR="007A4003" w:rsidRDefault="007A4003" w:rsidP="007A4003">
      <w:pPr>
        <w:pStyle w:val="ListParagraph"/>
        <w:spacing w:after="0" w:line="240" w:lineRule="auto"/>
        <w:ind w:left="360"/>
        <w:jc w:val="both"/>
        <w:rPr>
          <w:rFonts w:ascii="Times New Roman" w:hAnsi="Times New Roman"/>
          <w:sz w:val="24"/>
          <w:szCs w:val="24"/>
        </w:rPr>
      </w:pPr>
    </w:p>
    <w:p w:rsidR="00DC3B93" w:rsidRDefault="00DC3B93" w:rsidP="007A4003">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With a view of expediting the disposal of overlying goods, an e-auction sales project is being developed.</w:t>
      </w:r>
    </w:p>
    <w:p w:rsidR="007A4003" w:rsidRPr="007A4003" w:rsidRDefault="007A4003" w:rsidP="007A4003">
      <w:pPr>
        <w:pStyle w:val="ListParagraph"/>
        <w:rPr>
          <w:rFonts w:ascii="Times New Roman" w:hAnsi="Times New Roman"/>
          <w:sz w:val="24"/>
          <w:szCs w:val="24"/>
        </w:rPr>
      </w:pPr>
    </w:p>
    <w:p w:rsidR="00DC3B93" w:rsidRPr="00BA48DC" w:rsidRDefault="00DC3B93" w:rsidP="007A4003">
      <w:pPr>
        <w:pStyle w:val="ListParagraph"/>
        <w:numPr>
          <w:ilvl w:val="0"/>
          <w:numId w:val="23"/>
        </w:numPr>
        <w:spacing w:after="0" w:line="240" w:lineRule="auto"/>
        <w:jc w:val="both"/>
        <w:rPr>
          <w:rFonts w:ascii="Times New Roman" w:hAnsi="Times New Roman"/>
          <w:sz w:val="24"/>
          <w:szCs w:val="24"/>
        </w:rPr>
      </w:pPr>
      <w:r>
        <w:rPr>
          <w:rFonts w:ascii="Times New Roman" w:hAnsi="Times New Roman"/>
          <w:sz w:val="24"/>
          <w:szCs w:val="24"/>
        </w:rPr>
        <w:t>Following the Finance Act 2015, the MRA will use its new powers under the Customs Act to liquidate unclaimed goods and free capacity in customs warehouses.</w:t>
      </w:r>
    </w:p>
    <w:p w:rsidR="00DD7842" w:rsidRDefault="00DD7842">
      <w:pPr>
        <w:rPr>
          <w:rFonts w:ascii="Times New Roman" w:hAnsi="Times New Roman"/>
          <w:sz w:val="24"/>
          <w:szCs w:val="24"/>
        </w:rPr>
      </w:pPr>
    </w:p>
    <w:p w:rsidR="005C1548" w:rsidRPr="005C1548" w:rsidRDefault="00127C2B" w:rsidP="005C1548">
      <w:pPr>
        <w:spacing w:after="0" w:line="240" w:lineRule="auto"/>
        <w:jc w:val="both"/>
        <w:rPr>
          <w:rFonts w:ascii="Times New Roman" w:hAnsi="Times New Roman"/>
          <w:b/>
          <w:sz w:val="24"/>
          <w:szCs w:val="24"/>
        </w:rPr>
      </w:pPr>
      <w:proofErr w:type="gramStart"/>
      <w:r>
        <w:rPr>
          <w:rFonts w:ascii="Times New Roman" w:hAnsi="Times New Roman"/>
          <w:b/>
          <w:sz w:val="24"/>
          <w:szCs w:val="24"/>
        </w:rPr>
        <w:t>6.</w:t>
      </w:r>
      <w:r w:rsidR="0025496D">
        <w:rPr>
          <w:rFonts w:ascii="Times New Roman" w:hAnsi="Times New Roman"/>
          <w:b/>
          <w:sz w:val="24"/>
          <w:szCs w:val="24"/>
        </w:rPr>
        <w:t>3</w:t>
      </w:r>
      <w:r w:rsidR="00BD5EE8">
        <w:rPr>
          <w:rFonts w:ascii="Times New Roman" w:hAnsi="Times New Roman"/>
          <w:b/>
          <w:sz w:val="24"/>
          <w:szCs w:val="24"/>
        </w:rPr>
        <w:t xml:space="preserve">  </w:t>
      </w:r>
      <w:r w:rsidR="005C1548" w:rsidRPr="005C1548">
        <w:rPr>
          <w:rFonts w:ascii="Times New Roman" w:hAnsi="Times New Roman"/>
          <w:b/>
          <w:sz w:val="24"/>
          <w:szCs w:val="24"/>
        </w:rPr>
        <w:t>Customs</w:t>
      </w:r>
      <w:proofErr w:type="gramEnd"/>
      <w:r w:rsidR="005C1548" w:rsidRPr="005C1548">
        <w:rPr>
          <w:rFonts w:ascii="Times New Roman" w:hAnsi="Times New Roman"/>
          <w:b/>
          <w:sz w:val="24"/>
          <w:szCs w:val="24"/>
        </w:rPr>
        <w:t xml:space="preserve"> – Return of Arrears of Revenue - Rs 621,225,740</w:t>
      </w:r>
    </w:p>
    <w:p w:rsidR="005C1548" w:rsidRPr="005C1548" w:rsidRDefault="005C1548" w:rsidP="005C1548">
      <w:pPr>
        <w:spacing w:after="0" w:line="240" w:lineRule="auto"/>
        <w:jc w:val="both"/>
        <w:rPr>
          <w:rFonts w:ascii="Times New Roman" w:hAnsi="Times New Roman"/>
          <w:sz w:val="24"/>
          <w:szCs w:val="24"/>
        </w:rPr>
      </w:pPr>
    </w:p>
    <w:p w:rsidR="005C1548" w:rsidRPr="005C1548" w:rsidRDefault="005C1548" w:rsidP="005C1548">
      <w:pPr>
        <w:spacing w:after="0" w:line="240" w:lineRule="auto"/>
        <w:jc w:val="both"/>
        <w:rPr>
          <w:rFonts w:ascii="Times New Roman" w:hAnsi="Times New Roman"/>
          <w:sz w:val="24"/>
          <w:szCs w:val="24"/>
        </w:rPr>
      </w:pPr>
      <w:r w:rsidRPr="005C1548">
        <w:rPr>
          <w:rFonts w:ascii="Times New Roman" w:hAnsi="Times New Roman"/>
          <w:sz w:val="24"/>
          <w:szCs w:val="24"/>
        </w:rPr>
        <w:t>Arrears of Revenue consist of duties and taxes together with penalties and interests payable i</w:t>
      </w:r>
      <w:r w:rsidR="009C13D3">
        <w:rPr>
          <w:rFonts w:ascii="Times New Roman" w:hAnsi="Times New Roman"/>
          <w:sz w:val="24"/>
          <w:szCs w:val="24"/>
        </w:rPr>
        <w:t>n respect of claims raised and Customs Offence R</w:t>
      </w:r>
      <w:r w:rsidRPr="005C1548">
        <w:rPr>
          <w:rFonts w:ascii="Times New Roman" w:hAnsi="Times New Roman"/>
          <w:sz w:val="24"/>
          <w:szCs w:val="24"/>
        </w:rPr>
        <w:t xml:space="preserve">eports (CORs). These debts are classified as collectible and non-collectible. </w:t>
      </w:r>
    </w:p>
    <w:p w:rsidR="005C1548" w:rsidRPr="005C1548" w:rsidRDefault="005C1548" w:rsidP="005C1548">
      <w:pPr>
        <w:spacing w:after="0" w:line="240" w:lineRule="auto"/>
        <w:jc w:val="both"/>
        <w:rPr>
          <w:rFonts w:ascii="Times New Roman" w:hAnsi="Times New Roman"/>
          <w:sz w:val="24"/>
          <w:szCs w:val="24"/>
        </w:rPr>
      </w:pPr>
    </w:p>
    <w:p w:rsidR="00C53572" w:rsidRDefault="005C1548" w:rsidP="005C1548">
      <w:pPr>
        <w:spacing w:after="0" w:line="240" w:lineRule="auto"/>
        <w:jc w:val="both"/>
        <w:rPr>
          <w:rFonts w:ascii="Times New Roman" w:hAnsi="Times New Roman"/>
          <w:sz w:val="24"/>
          <w:szCs w:val="24"/>
        </w:rPr>
      </w:pPr>
      <w:r w:rsidRPr="005C1548">
        <w:rPr>
          <w:rFonts w:ascii="Times New Roman" w:hAnsi="Times New Roman"/>
          <w:sz w:val="24"/>
          <w:szCs w:val="24"/>
        </w:rPr>
        <w:t>The Arrears of Revenue as at 31 December 2014 were reported at Rs 621.2 million, of which only some 11 per cent (Rs 66.5 millio</w:t>
      </w:r>
      <w:r w:rsidR="009C13D3">
        <w:rPr>
          <w:rFonts w:ascii="Times New Roman" w:hAnsi="Times New Roman"/>
          <w:sz w:val="24"/>
          <w:szCs w:val="24"/>
        </w:rPr>
        <w:t>n) were</w:t>
      </w:r>
      <w:r w:rsidRPr="005C1548">
        <w:rPr>
          <w:rFonts w:ascii="Times New Roman" w:hAnsi="Times New Roman"/>
          <w:sz w:val="24"/>
          <w:szCs w:val="24"/>
        </w:rPr>
        <w:t xml:space="preserve"> accounted as recoverable. Debts totaling Rs 554.7 million have been reported as non-collectible as these debts have not yet been compounded since the debtors were not agreeable to settle the amoun</w:t>
      </w:r>
      <w:r w:rsidR="00BD5EE8">
        <w:rPr>
          <w:rFonts w:ascii="Times New Roman" w:hAnsi="Times New Roman"/>
          <w:sz w:val="24"/>
          <w:szCs w:val="24"/>
        </w:rPr>
        <w:t>t claimed as shown in the Table</w:t>
      </w:r>
      <w:r w:rsidR="00993958">
        <w:rPr>
          <w:rFonts w:ascii="Times New Roman" w:hAnsi="Times New Roman"/>
          <w:sz w:val="24"/>
          <w:szCs w:val="24"/>
        </w:rPr>
        <w:t xml:space="preserve"> 6-1.</w:t>
      </w:r>
    </w:p>
    <w:p w:rsidR="00C53572" w:rsidRDefault="00C53572">
      <w:pPr>
        <w:rPr>
          <w:rFonts w:ascii="Times New Roman" w:hAnsi="Times New Roman"/>
          <w:sz w:val="24"/>
          <w:szCs w:val="24"/>
        </w:rPr>
      </w:pPr>
      <w:r>
        <w:rPr>
          <w:rFonts w:ascii="Times New Roman" w:hAnsi="Times New Roman"/>
          <w:sz w:val="24"/>
          <w:szCs w:val="24"/>
        </w:rPr>
        <w:br w:type="page"/>
      </w:r>
    </w:p>
    <w:p w:rsidR="005C1548" w:rsidRDefault="005C1548" w:rsidP="005C1548">
      <w:pPr>
        <w:spacing w:after="0" w:line="240" w:lineRule="auto"/>
        <w:jc w:val="center"/>
        <w:rPr>
          <w:rFonts w:ascii="Times New Roman" w:hAnsi="Times New Roman"/>
          <w:i/>
          <w:sz w:val="24"/>
          <w:szCs w:val="24"/>
        </w:rPr>
      </w:pPr>
      <w:r w:rsidRPr="005C1548">
        <w:rPr>
          <w:rFonts w:ascii="Times New Roman" w:hAnsi="Times New Roman"/>
          <w:i/>
          <w:sz w:val="24"/>
          <w:szCs w:val="24"/>
        </w:rPr>
        <w:lastRenderedPageBreak/>
        <w:t xml:space="preserve">Table </w:t>
      </w:r>
      <w:r w:rsidR="00993958">
        <w:rPr>
          <w:rFonts w:ascii="Times New Roman" w:hAnsi="Times New Roman"/>
          <w:i/>
          <w:sz w:val="24"/>
          <w:szCs w:val="24"/>
        </w:rPr>
        <w:t>6</w:t>
      </w:r>
      <w:r w:rsidRPr="005C1548">
        <w:rPr>
          <w:rFonts w:ascii="Times New Roman" w:hAnsi="Times New Roman"/>
          <w:i/>
          <w:sz w:val="24"/>
          <w:szCs w:val="24"/>
        </w:rPr>
        <w:t>-</w:t>
      </w:r>
      <w:proofErr w:type="gramStart"/>
      <w:r w:rsidR="00993958">
        <w:rPr>
          <w:rFonts w:ascii="Times New Roman" w:hAnsi="Times New Roman"/>
          <w:i/>
          <w:sz w:val="24"/>
          <w:szCs w:val="24"/>
        </w:rPr>
        <w:t xml:space="preserve">1 </w:t>
      </w:r>
      <w:r w:rsidRPr="005C1548">
        <w:rPr>
          <w:rFonts w:ascii="Times New Roman" w:hAnsi="Times New Roman"/>
          <w:i/>
          <w:sz w:val="24"/>
          <w:szCs w:val="24"/>
        </w:rPr>
        <w:t xml:space="preserve"> Ageing</w:t>
      </w:r>
      <w:proofErr w:type="gramEnd"/>
      <w:r w:rsidRPr="005C1548">
        <w:rPr>
          <w:rFonts w:ascii="Times New Roman" w:hAnsi="Times New Roman"/>
          <w:i/>
          <w:sz w:val="24"/>
          <w:szCs w:val="24"/>
        </w:rPr>
        <w:t xml:space="preserve"> of debtors in respect of COR and Claims outstanding </w:t>
      </w:r>
      <w:r w:rsidR="00993958">
        <w:rPr>
          <w:rFonts w:ascii="Times New Roman" w:hAnsi="Times New Roman"/>
          <w:i/>
          <w:sz w:val="24"/>
          <w:szCs w:val="24"/>
        </w:rPr>
        <w:br/>
      </w:r>
      <w:r w:rsidRPr="005C1548">
        <w:rPr>
          <w:rFonts w:ascii="Times New Roman" w:hAnsi="Times New Roman"/>
          <w:i/>
          <w:sz w:val="24"/>
          <w:szCs w:val="24"/>
        </w:rPr>
        <w:t>as at 31 December 2014</w:t>
      </w:r>
    </w:p>
    <w:p w:rsidR="005C1548" w:rsidRDefault="005C1548" w:rsidP="005C1548">
      <w:pPr>
        <w:spacing w:after="0" w:line="240" w:lineRule="auto"/>
        <w:jc w:val="center"/>
        <w:rPr>
          <w:rFonts w:ascii="Times New Roman" w:hAnsi="Times New Roman"/>
          <w:i/>
          <w:sz w:val="24"/>
          <w:szCs w:val="24"/>
        </w:rPr>
      </w:pPr>
    </w:p>
    <w:p w:rsidR="005C1548" w:rsidRPr="005C1548" w:rsidRDefault="005C1548" w:rsidP="005C1548">
      <w:pPr>
        <w:pBdr>
          <w:top w:val="single" w:sz="4" w:space="1" w:color="auto"/>
        </w:pBdr>
        <w:spacing w:after="0" w:line="240" w:lineRule="auto"/>
        <w:jc w:val="center"/>
        <w:rPr>
          <w:rFonts w:ascii="Times New Roman" w:hAnsi="Times New Roman"/>
          <w:i/>
          <w:sz w:val="24"/>
          <w:szCs w:val="24"/>
        </w:rPr>
      </w:pPr>
    </w:p>
    <w:tbl>
      <w:tblPr>
        <w:tblW w:w="8928" w:type="dxa"/>
        <w:jc w:val="center"/>
        <w:tblLook w:val="04A0"/>
      </w:tblPr>
      <w:tblGrid>
        <w:gridCol w:w="1264"/>
        <w:gridCol w:w="805"/>
        <w:gridCol w:w="1299"/>
        <w:gridCol w:w="1416"/>
        <w:gridCol w:w="1312"/>
        <w:gridCol w:w="1416"/>
        <w:gridCol w:w="1416"/>
      </w:tblGrid>
      <w:tr w:rsidR="00DD7842" w:rsidRPr="005C1548" w:rsidTr="00DD7842">
        <w:trPr>
          <w:trHeight w:val="495"/>
          <w:jc w:val="center"/>
        </w:trPr>
        <w:tc>
          <w:tcPr>
            <w:tcW w:w="1264" w:type="dxa"/>
            <w:vMerge w:val="restart"/>
            <w:shd w:val="clear" w:color="auto" w:fill="auto"/>
          </w:tcPr>
          <w:p w:rsidR="00DD7842" w:rsidRPr="005C1548" w:rsidRDefault="00DD7842" w:rsidP="005C1548">
            <w:pPr>
              <w:spacing w:after="0" w:line="240" w:lineRule="auto"/>
              <w:jc w:val="both"/>
              <w:rPr>
                <w:rFonts w:ascii="Times New Roman" w:hAnsi="Times New Roman"/>
              </w:rPr>
            </w:pPr>
          </w:p>
        </w:tc>
        <w:tc>
          <w:tcPr>
            <w:tcW w:w="805" w:type="dxa"/>
            <w:vMerge w:val="restart"/>
            <w:shd w:val="clear" w:color="auto" w:fill="auto"/>
          </w:tcPr>
          <w:p w:rsidR="00DD7842" w:rsidRPr="005C1548" w:rsidRDefault="00DD7842" w:rsidP="005C1548">
            <w:pPr>
              <w:spacing w:after="0" w:line="240" w:lineRule="auto"/>
              <w:jc w:val="center"/>
              <w:rPr>
                <w:rFonts w:ascii="Times New Roman" w:hAnsi="Times New Roman"/>
                <w:b/>
              </w:rPr>
            </w:pPr>
            <w:r w:rsidRPr="005C1548">
              <w:rPr>
                <w:rFonts w:ascii="Times New Roman" w:hAnsi="Times New Roman"/>
                <w:b/>
              </w:rPr>
              <w:t>Total No of cases</w:t>
            </w:r>
          </w:p>
        </w:tc>
        <w:tc>
          <w:tcPr>
            <w:tcW w:w="2715" w:type="dxa"/>
            <w:gridSpan w:val="2"/>
            <w:shd w:val="clear" w:color="auto" w:fill="auto"/>
          </w:tcPr>
          <w:p w:rsidR="00DD7842" w:rsidRPr="005C1548" w:rsidRDefault="00DD7842" w:rsidP="005C1548">
            <w:pPr>
              <w:spacing w:after="0" w:line="240" w:lineRule="auto"/>
              <w:jc w:val="center"/>
              <w:rPr>
                <w:rFonts w:ascii="Times New Roman" w:hAnsi="Times New Roman"/>
                <w:b/>
              </w:rPr>
            </w:pPr>
            <w:r w:rsidRPr="005C1548">
              <w:rPr>
                <w:rFonts w:ascii="Times New Roman" w:hAnsi="Times New Roman"/>
                <w:b/>
              </w:rPr>
              <w:t>COR</w:t>
            </w:r>
          </w:p>
        </w:tc>
        <w:tc>
          <w:tcPr>
            <w:tcW w:w="2728" w:type="dxa"/>
            <w:gridSpan w:val="2"/>
            <w:shd w:val="clear" w:color="auto" w:fill="auto"/>
          </w:tcPr>
          <w:p w:rsidR="00DD7842" w:rsidRPr="005C1548" w:rsidRDefault="00DD7842" w:rsidP="005C1548">
            <w:pPr>
              <w:spacing w:after="0" w:line="240" w:lineRule="auto"/>
              <w:jc w:val="center"/>
              <w:rPr>
                <w:rFonts w:ascii="Times New Roman" w:hAnsi="Times New Roman"/>
                <w:b/>
              </w:rPr>
            </w:pPr>
            <w:r w:rsidRPr="005C1548">
              <w:rPr>
                <w:rFonts w:ascii="Times New Roman" w:hAnsi="Times New Roman"/>
                <w:b/>
              </w:rPr>
              <w:t>Claim</w:t>
            </w:r>
          </w:p>
        </w:tc>
        <w:tc>
          <w:tcPr>
            <w:tcW w:w="1416" w:type="dxa"/>
            <w:shd w:val="clear" w:color="auto" w:fill="auto"/>
          </w:tcPr>
          <w:p w:rsidR="00DD7842" w:rsidRPr="005C1548" w:rsidRDefault="00DD7842" w:rsidP="005C1548">
            <w:pPr>
              <w:spacing w:after="0" w:line="240" w:lineRule="auto"/>
              <w:jc w:val="center"/>
              <w:rPr>
                <w:rFonts w:ascii="Times New Roman" w:hAnsi="Times New Roman"/>
                <w:b/>
              </w:rPr>
            </w:pPr>
            <w:r w:rsidRPr="005C1548">
              <w:rPr>
                <w:rFonts w:ascii="Times New Roman" w:hAnsi="Times New Roman"/>
                <w:b/>
              </w:rPr>
              <w:t>Total Amount</w:t>
            </w:r>
          </w:p>
        </w:tc>
      </w:tr>
      <w:tr w:rsidR="00DD7842" w:rsidRPr="005C1548" w:rsidTr="00DD7842">
        <w:trPr>
          <w:trHeight w:val="423"/>
          <w:jc w:val="center"/>
        </w:trPr>
        <w:tc>
          <w:tcPr>
            <w:tcW w:w="1264" w:type="dxa"/>
            <w:vMerge/>
            <w:shd w:val="clear" w:color="auto" w:fill="auto"/>
            <w:tcMar>
              <w:left w:w="115" w:type="dxa"/>
              <w:right w:w="115" w:type="dxa"/>
            </w:tcMar>
          </w:tcPr>
          <w:p w:rsidR="00DD7842" w:rsidRPr="005C1548" w:rsidRDefault="00DD7842" w:rsidP="005C1548">
            <w:pPr>
              <w:spacing w:after="0" w:line="240" w:lineRule="auto"/>
              <w:jc w:val="both"/>
              <w:rPr>
                <w:rFonts w:ascii="Times New Roman" w:hAnsi="Times New Roman"/>
              </w:rPr>
            </w:pPr>
          </w:p>
        </w:tc>
        <w:tc>
          <w:tcPr>
            <w:tcW w:w="805" w:type="dxa"/>
            <w:vMerge/>
            <w:shd w:val="clear" w:color="auto" w:fill="auto"/>
            <w:tcMar>
              <w:left w:w="115" w:type="dxa"/>
              <w:right w:w="115" w:type="dxa"/>
            </w:tcMar>
          </w:tcPr>
          <w:p w:rsidR="00DD7842" w:rsidRPr="005C1548" w:rsidRDefault="00DD7842" w:rsidP="005C1548">
            <w:pPr>
              <w:spacing w:after="0" w:line="240" w:lineRule="auto"/>
              <w:jc w:val="center"/>
              <w:rPr>
                <w:rFonts w:ascii="Times New Roman" w:hAnsi="Times New Roman"/>
                <w:b/>
              </w:rPr>
            </w:pPr>
          </w:p>
        </w:tc>
        <w:tc>
          <w:tcPr>
            <w:tcW w:w="1299" w:type="dxa"/>
            <w:shd w:val="clear" w:color="auto" w:fill="auto"/>
            <w:tcMar>
              <w:left w:w="115" w:type="dxa"/>
              <w:right w:w="115" w:type="dxa"/>
            </w:tcMar>
          </w:tcPr>
          <w:p w:rsidR="00DD7842" w:rsidRPr="005C1548" w:rsidRDefault="00DD7842" w:rsidP="005C1548">
            <w:pPr>
              <w:spacing w:after="0" w:line="240" w:lineRule="auto"/>
              <w:jc w:val="center"/>
              <w:rPr>
                <w:rFonts w:ascii="Times New Roman" w:hAnsi="Times New Roman"/>
                <w:b/>
              </w:rPr>
            </w:pPr>
            <w:r w:rsidRPr="005C1548">
              <w:rPr>
                <w:rFonts w:ascii="Times New Roman" w:hAnsi="Times New Roman"/>
                <w:b/>
              </w:rPr>
              <w:t>Collectible Rs</w:t>
            </w:r>
          </w:p>
        </w:tc>
        <w:tc>
          <w:tcPr>
            <w:tcW w:w="1416" w:type="dxa"/>
            <w:shd w:val="clear" w:color="auto" w:fill="auto"/>
            <w:tcMar>
              <w:left w:w="115" w:type="dxa"/>
              <w:right w:w="115" w:type="dxa"/>
            </w:tcMar>
          </w:tcPr>
          <w:p w:rsidR="00DD7842" w:rsidRPr="005C1548" w:rsidRDefault="00DD7842" w:rsidP="005C1548">
            <w:pPr>
              <w:spacing w:after="0" w:line="240" w:lineRule="auto"/>
              <w:jc w:val="center"/>
              <w:rPr>
                <w:rFonts w:ascii="Times New Roman" w:hAnsi="Times New Roman"/>
                <w:b/>
              </w:rPr>
            </w:pPr>
            <w:r w:rsidRPr="005C1548">
              <w:rPr>
                <w:rFonts w:ascii="Times New Roman" w:hAnsi="Times New Roman"/>
                <w:b/>
              </w:rPr>
              <w:t>Non-Collectible</w:t>
            </w:r>
          </w:p>
        </w:tc>
        <w:tc>
          <w:tcPr>
            <w:tcW w:w="1312" w:type="dxa"/>
            <w:shd w:val="clear" w:color="auto" w:fill="auto"/>
            <w:tcMar>
              <w:left w:w="115" w:type="dxa"/>
              <w:right w:w="115" w:type="dxa"/>
            </w:tcMar>
          </w:tcPr>
          <w:p w:rsidR="00DD7842" w:rsidRPr="005C1548" w:rsidRDefault="00DD7842" w:rsidP="005C1548">
            <w:pPr>
              <w:spacing w:after="0" w:line="240" w:lineRule="auto"/>
              <w:jc w:val="center"/>
              <w:rPr>
                <w:rFonts w:ascii="Times New Roman" w:hAnsi="Times New Roman"/>
                <w:b/>
              </w:rPr>
            </w:pPr>
            <w:r w:rsidRPr="005C1548">
              <w:rPr>
                <w:rFonts w:ascii="Times New Roman" w:hAnsi="Times New Roman"/>
                <w:b/>
              </w:rPr>
              <w:t>Collectible</w:t>
            </w:r>
          </w:p>
        </w:tc>
        <w:tc>
          <w:tcPr>
            <w:tcW w:w="1416" w:type="dxa"/>
            <w:shd w:val="clear" w:color="auto" w:fill="auto"/>
            <w:tcMar>
              <w:left w:w="115" w:type="dxa"/>
              <w:right w:w="115" w:type="dxa"/>
            </w:tcMar>
          </w:tcPr>
          <w:p w:rsidR="00DD7842" w:rsidRPr="005C1548" w:rsidRDefault="00DD7842" w:rsidP="005C1548">
            <w:pPr>
              <w:spacing w:after="0" w:line="240" w:lineRule="auto"/>
              <w:jc w:val="center"/>
              <w:rPr>
                <w:rFonts w:ascii="Times New Roman" w:hAnsi="Times New Roman"/>
                <w:b/>
              </w:rPr>
            </w:pPr>
            <w:r w:rsidRPr="005C1548">
              <w:rPr>
                <w:rFonts w:ascii="Times New Roman" w:hAnsi="Times New Roman"/>
                <w:b/>
              </w:rPr>
              <w:t>Non- Collectible</w:t>
            </w:r>
          </w:p>
        </w:tc>
        <w:tc>
          <w:tcPr>
            <w:tcW w:w="1416" w:type="dxa"/>
            <w:shd w:val="clear" w:color="auto" w:fill="auto"/>
            <w:tcMar>
              <w:left w:w="115" w:type="dxa"/>
              <w:right w:w="115" w:type="dxa"/>
            </w:tcMar>
          </w:tcPr>
          <w:p w:rsidR="00DD7842" w:rsidRPr="005C1548" w:rsidRDefault="00DD7842" w:rsidP="005C1548">
            <w:pPr>
              <w:spacing w:after="0" w:line="240" w:lineRule="auto"/>
              <w:jc w:val="center"/>
              <w:rPr>
                <w:rFonts w:ascii="Times New Roman" w:hAnsi="Times New Roman"/>
                <w:b/>
              </w:rPr>
            </w:pPr>
          </w:p>
        </w:tc>
      </w:tr>
      <w:tr w:rsidR="00DD7842" w:rsidRPr="005C1548" w:rsidTr="00DD7842">
        <w:trPr>
          <w:trHeight w:val="189"/>
          <w:jc w:val="center"/>
        </w:trPr>
        <w:tc>
          <w:tcPr>
            <w:tcW w:w="1264" w:type="dxa"/>
            <w:vMerge/>
            <w:shd w:val="clear" w:color="auto" w:fill="auto"/>
          </w:tcPr>
          <w:p w:rsidR="00DD7842" w:rsidRPr="005C1548" w:rsidRDefault="00DD7842" w:rsidP="005C1548">
            <w:pPr>
              <w:spacing w:after="0" w:line="240" w:lineRule="auto"/>
              <w:jc w:val="both"/>
              <w:rPr>
                <w:rFonts w:ascii="Times New Roman" w:hAnsi="Times New Roman"/>
              </w:rPr>
            </w:pPr>
          </w:p>
        </w:tc>
        <w:tc>
          <w:tcPr>
            <w:tcW w:w="805" w:type="dxa"/>
            <w:vMerge/>
            <w:shd w:val="clear" w:color="auto" w:fill="auto"/>
          </w:tcPr>
          <w:p w:rsidR="00DD7842" w:rsidRPr="005C1548" w:rsidRDefault="00DD7842" w:rsidP="005C1548">
            <w:pPr>
              <w:spacing w:after="0" w:line="240" w:lineRule="auto"/>
              <w:jc w:val="center"/>
              <w:rPr>
                <w:rFonts w:ascii="Times New Roman" w:hAnsi="Times New Roman"/>
                <w:b/>
              </w:rPr>
            </w:pPr>
          </w:p>
        </w:tc>
        <w:tc>
          <w:tcPr>
            <w:tcW w:w="1299" w:type="dxa"/>
            <w:shd w:val="clear" w:color="auto" w:fill="auto"/>
          </w:tcPr>
          <w:p w:rsidR="00DD7842" w:rsidRPr="005C1548" w:rsidRDefault="00DD7842" w:rsidP="005C1548">
            <w:pPr>
              <w:spacing w:after="0" w:line="240" w:lineRule="auto"/>
              <w:jc w:val="center"/>
              <w:rPr>
                <w:rFonts w:ascii="Times New Roman" w:hAnsi="Times New Roman"/>
                <w:b/>
              </w:rPr>
            </w:pPr>
          </w:p>
        </w:tc>
        <w:tc>
          <w:tcPr>
            <w:tcW w:w="1416" w:type="dxa"/>
            <w:shd w:val="clear" w:color="auto" w:fill="auto"/>
          </w:tcPr>
          <w:p w:rsidR="00DD7842" w:rsidRPr="005C1548" w:rsidRDefault="00DD7842" w:rsidP="005C1548">
            <w:pPr>
              <w:spacing w:after="0" w:line="240" w:lineRule="auto"/>
              <w:jc w:val="center"/>
              <w:rPr>
                <w:rFonts w:ascii="Times New Roman" w:hAnsi="Times New Roman"/>
                <w:b/>
              </w:rPr>
            </w:pPr>
            <w:r w:rsidRPr="005C1548">
              <w:rPr>
                <w:rFonts w:ascii="Times New Roman" w:hAnsi="Times New Roman"/>
                <w:b/>
              </w:rPr>
              <w:t>Rs</w:t>
            </w:r>
          </w:p>
        </w:tc>
        <w:tc>
          <w:tcPr>
            <w:tcW w:w="1312" w:type="dxa"/>
            <w:shd w:val="clear" w:color="auto" w:fill="auto"/>
          </w:tcPr>
          <w:p w:rsidR="00DD7842" w:rsidRPr="005C1548" w:rsidRDefault="00DD7842" w:rsidP="005C1548">
            <w:pPr>
              <w:spacing w:after="0" w:line="240" w:lineRule="auto"/>
              <w:jc w:val="center"/>
              <w:rPr>
                <w:rFonts w:ascii="Times New Roman" w:hAnsi="Times New Roman"/>
                <w:b/>
              </w:rPr>
            </w:pPr>
            <w:r w:rsidRPr="005C1548">
              <w:rPr>
                <w:rFonts w:ascii="Times New Roman" w:hAnsi="Times New Roman"/>
                <w:b/>
              </w:rPr>
              <w:t>Rs</w:t>
            </w:r>
          </w:p>
        </w:tc>
        <w:tc>
          <w:tcPr>
            <w:tcW w:w="1416" w:type="dxa"/>
            <w:shd w:val="clear" w:color="auto" w:fill="auto"/>
          </w:tcPr>
          <w:p w:rsidR="00DD7842" w:rsidRPr="005C1548" w:rsidRDefault="00DD7842" w:rsidP="005C1548">
            <w:pPr>
              <w:spacing w:after="0" w:line="240" w:lineRule="auto"/>
              <w:jc w:val="center"/>
              <w:rPr>
                <w:rFonts w:ascii="Times New Roman" w:hAnsi="Times New Roman"/>
                <w:b/>
              </w:rPr>
            </w:pPr>
            <w:r w:rsidRPr="005C1548">
              <w:rPr>
                <w:rFonts w:ascii="Times New Roman" w:hAnsi="Times New Roman"/>
                <w:b/>
              </w:rPr>
              <w:t>Rs</w:t>
            </w:r>
          </w:p>
        </w:tc>
        <w:tc>
          <w:tcPr>
            <w:tcW w:w="1416" w:type="dxa"/>
            <w:shd w:val="clear" w:color="auto" w:fill="auto"/>
          </w:tcPr>
          <w:p w:rsidR="00DD7842" w:rsidRPr="005C1548" w:rsidRDefault="00DD7842" w:rsidP="005C1548">
            <w:pPr>
              <w:spacing w:after="0" w:line="240" w:lineRule="auto"/>
              <w:jc w:val="center"/>
              <w:rPr>
                <w:rFonts w:ascii="Times New Roman" w:hAnsi="Times New Roman"/>
                <w:b/>
              </w:rPr>
            </w:pPr>
            <w:r w:rsidRPr="005C1548">
              <w:rPr>
                <w:rFonts w:ascii="Times New Roman" w:hAnsi="Times New Roman"/>
                <w:b/>
              </w:rPr>
              <w:t>Rs</w:t>
            </w:r>
          </w:p>
        </w:tc>
      </w:tr>
      <w:tr w:rsidR="005C1548" w:rsidRPr="005C1548" w:rsidTr="00DD7842">
        <w:trPr>
          <w:jc w:val="center"/>
        </w:trPr>
        <w:tc>
          <w:tcPr>
            <w:tcW w:w="1264" w:type="dxa"/>
          </w:tcPr>
          <w:p w:rsidR="005C1548" w:rsidRPr="005C1548" w:rsidRDefault="005C1548" w:rsidP="005C1548">
            <w:pPr>
              <w:spacing w:after="0" w:line="240" w:lineRule="auto"/>
              <w:rPr>
                <w:rFonts w:ascii="Times New Roman" w:hAnsi="Times New Roman"/>
                <w:sz w:val="24"/>
                <w:szCs w:val="24"/>
              </w:rPr>
            </w:pPr>
            <w:r w:rsidRPr="005C1548">
              <w:rPr>
                <w:rFonts w:ascii="Times New Roman" w:hAnsi="Times New Roman"/>
                <w:sz w:val="24"/>
                <w:szCs w:val="24"/>
              </w:rPr>
              <w:t>2010 &amp; previous years</w:t>
            </w:r>
          </w:p>
        </w:tc>
        <w:tc>
          <w:tcPr>
            <w:tcW w:w="805" w:type="dxa"/>
          </w:tcPr>
          <w:p w:rsidR="005C1548" w:rsidRDefault="005C1548" w:rsidP="005C1548">
            <w:pPr>
              <w:spacing w:before="120" w:after="120" w:line="240" w:lineRule="auto"/>
              <w:jc w:val="center"/>
              <w:rPr>
                <w:rFonts w:ascii="Times New Roman" w:hAnsi="Times New Roman"/>
                <w:sz w:val="24"/>
                <w:szCs w:val="24"/>
              </w:rPr>
            </w:pPr>
          </w:p>
          <w:p w:rsidR="005C1548" w:rsidRPr="005C1548" w:rsidRDefault="005C1548" w:rsidP="005C1548">
            <w:pPr>
              <w:spacing w:before="120" w:after="120" w:line="240" w:lineRule="auto"/>
              <w:jc w:val="center"/>
              <w:rPr>
                <w:rFonts w:ascii="Times New Roman" w:hAnsi="Times New Roman"/>
                <w:sz w:val="24"/>
                <w:szCs w:val="24"/>
              </w:rPr>
            </w:pPr>
            <w:r w:rsidRPr="005C1548">
              <w:rPr>
                <w:rFonts w:ascii="Times New Roman" w:hAnsi="Times New Roman"/>
                <w:sz w:val="24"/>
                <w:szCs w:val="24"/>
              </w:rPr>
              <w:t>92</w:t>
            </w:r>
          </w:p>
        </w:tc>
        <w:tc>
          <w:tcPr>
            <w:tcW w:w="1299" w:type="dxa"/>
          </w:tcPr>
          <w:p w:rsidR="005C1548" w:rsidRDefault="005C1548" w:rsidP="005C1548">
            <w:pPr>
              <w:spacing w:before="120" w:after="120" w:line="240" w:lineRule="auto"/>
              <w:jc w:val="right"/>
              <w:rPr>
                <w:rFonts w:ascii="Times New Roman" w:hAnsi="Times New Roman"/>
                <w:sz w:val="24"/>
                <w:szCs w:val="24"/>
              </w:rPr>
            </w:pPr>
          </w:p>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3,621,702</w:t>
            </w:r>
          </w:p>
        </w:tc>
        <w:tc>
          <w:tcPr>
            <w:tcW w:w="1416" w:type="dxa"/>
          </w:tcPr>
          <w:p w:rsidR="005C1548" w:rsidRDefault="005C1548" w:rsidP="005C1548">
            <w:pPr>
              <w:spacing w:before="120" w:after="120" w:line="240" w:lineRule="auto"/>
              <w:jc w:val="right"/>
              <w:rPr>
                <w:rFonts w:ascii="Times New Roman" w:hAnsi="Times New Roman"/>
                <w:sz w:val="24"/>
                <w:szCs w:val="24"/>
              </w:rPr>
            </w:pPr>
          </w:p>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133,339,403</w:t>
            </w:r>
          </w:p>
        </w:tc>
        <w:tc>
          <w:tcPr>
            <w:tcW w:w="1312" w:type="dxa"/>
          </w:tcPr>
          <w:p w:rsidR="005C1548" w:rsidRPr="005C1548" w:rsidRDefault="005C1548" w:rsidP="005C1548">
            <w:pPr>
              <w:spacing w:before="120" w:after="120" w:line="240" w:lineRule="auto"/>
              <w:jc w:val="center"/>
              <w:rPr>
                <w:rFonts w:ascii="Times New Roman" w:hAnsi="Times New Roman"/>
                <w:sz w:val="24"/>
                <w:szCs w:val="24"/>
              </w:rPr>
            </w:pPr>
          </w:p>
          <w:p w:rsidR="005C1548" w:rsidRPr="005C1548" w:rsidRDefault="005C1548" w:rsidP="005C1548">
            <w:pPr>
              <w:spacing w:before="120" w:after="120" w:line="240" w:lineRule="auto"/>
              <w:jc w:val="center"/>
              <w:rPr>
                <w:rFonts w:ascii="Times New Roman" w:hAnsi="Times New Roman"/>
                <w:sz w:val="24"/>
                <w:szCs w:val="24"/>
              </w:rPr>
            </w:pPr>
            <w:r w:rsidRPr="005C1548">
              <w:rPr>
                <w:rFonts w:ascii="Times New Roman" w:hAnsi="Times New Roman"/>
                <w:sz w:val="24"/>
                <w:szCs w:val="24"/>
              </w:rPr>
              <w:t>-</w:t>
            </w:r>
          </w:p>
        </w:tc>
        <w:tc>
          <w:tcPr>
            <w:tcW w:w="1416" w:type="dxa"/>
          </w:tcPr>
          <w:p w:rsidR="005C1548" w:rsidRDefault="005C1548" w:rsidP="005C1548">
            <w:pPr>
              <w:spacing w:before="120" w:after="120" w:line="240" w:lineRule="auto"/>
              <w:jc w:val="right"/>
              <w:rPr>
                <w:rFonts w:ascii="Times New Roman" w:hAnsi="Times New Roman"/>
                <w:sz w:val="24"/>
                <w:szCs w:val="24"/>
              </w:rPr>
            </w:pPr>
          </w:p>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139,458,426</w:t>
            </w:r>
          </w:p>
        </w:tc>
        <w:tc>
          <w:tcPr>
            <w:tcW w:w="1416" w:type="dxa"/>
          </w:tcPr>
          <w:p w:rsidR="005C1548" w:rsidRDefault="005C1548" w:rsidP="005C1548">
            <w:pPr>
              <w:spacing w:before="120" w:after="120" w:line="240" w:lineRule="auto"/>
              <w:jc w:val="right"/>
              <w:rPr>
                <w:rFonts w:ascii="Times New Roman" w:hAnsi="Times New Roman"/>
                <w:sz w:val="24"/>
                <w:szCs w:val="24"/>
              </w:rPr>
            </w:pPr>
          </w:p>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276,419,531</w:t>
            </w:r>
          </w:p>
        </w:tc>
      </w:tr>
      <w:tr w:rsidR="005C1548" w:rsidRPr="005C1548" w:rsidTr="00DD7842">
        <w:trPr>
          <w:jc w:val="center"/>
        </w:trPr>
        <w:tc>
          <w:tcPr>
            <w:tcW w:w="1264" w:type="dxa"/>
          </w:tcPr>
          <w:p w:rsidR="005C1548" w:rsidRPr="005C1548" w:rsidRDefault="005C1548" w:rsidP="005C1548">
            <w:pPr>
              <w:spacing w:before="120" w:after="120" w:line="240" w:lineRule="auto"/>
              <w:rPr>
                <w:rFonts w:ascii="Times New Roman" w:hAnsi="Times New Roman"/>
                <w:sz w:val="24"/>
                <w:szCs w:val="24"/>
              </w:rPr>
            </w:pPr>
            <w:r w:rsidRPr="005C1548">
              <w:rPr>
                <w:rFonts w:ascii="Times New Roman" w:hAnsi="Times New Roman"/>
                <w:sz w:val="24"/>
                <w:szCs w:val="24"/>
              </w:rPr>
              <w:t>Year 2011</w:t>
            </w:r>
          </w:p>
        </w:tc>
        <w:tc>
          <w:tcPr>
            <w:tcW w:w="805" w:type="dxa"/>
          </w:tcPr>
          <w:p w:rsidR="005C1548" w:rsidRPr="005C1548" w:rsidRDefault="005C1548" w:rsidP="005C1548">
            <w:pPr>
              <w:spacing w:before="120" w:after="120" w:line="240" w:lineRule="auto"/>
              <w:jc w:val="center"/>
              <w:rPr>
                <w:rFonts w:ascii="Times New Roman" w:hAnsi="Times New Roman"/>
                <w:sz w:val="24"/>
                <w:szCs w:val="24"/>
              </w:rPr>
            </w:pPr>
            <w:r w:rsidRPr="005C1548">
              <w:rPr>
                <w:rFonts w:ascii="Times New Roman" w:hAnsi="Times New Roman"/>
                <w:sz w:val="24"/>
                <w:szCs w:val="24"/>
              </w:rPr>
              <w:t>198</w:t>
            </w:r>
          </w:p>
        </w:tc>
        <w:tc>
          <w:tcPr>
            <w:tcW w:w="1299" w:type="dxa"/>
          </w:tcPr>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37,197</w:t>
            </w:r>
          </w:p>
        </w:tc>
        <w:tc>
          <w:tcPr>
            <w:tcW w:w="1416" w:type="dxa"/>
          </w:tcPr>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5,505,481</w:t>
            </w:r>
          </w:p>
        </w:tc>
        <w:tc>
          <w:tcPr>
            <w:tcW w:w="1312" w:type="dxa"/>
          </w:tcPr>
          <w:p w:rsidR="005C1548" w:rsidRPr="005C1548" w:rsidRDefault="005C1548" w:rsidP="005C1548">
            <w:pPr>
              <w:spacing w:before="120" w:after="120" w:line="240" w:lineRule="auto"/>
              <w:jc w:val="center"/>
              <w:rPr>
                <w:rFonts w:ascii="Times New Roman" w:hAnsi="Times New Roman"/>
                <w:sz w:val="24"/>
                <w:szCs w:val="24"/>
              </w:rPr>
            </w:pPr>
            <w:r w:rsidRPr="005C1548">
              <w:rPr>
                <w:rFonts w:ascii="Times New Roman" w:hAnsi="Times New Roman"/>
                <w:sz w:val="24"/>
                <w:szCs w:val="24"/>
              </w:rPr>
              <w:t>-</w:t>
            </w:r>
          </w:p>
        </w:tc>
        <w:tc>
          <w:tcPr>
            <w:tcW w:w="1416" w:type="dxa"/>
          </w:tcPr>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2,622,022</w:t>
            </w:r>
          </w:p>
        </w:tc>
        <w:tc>
          <w:tcPr>
            <w:tcW w:w="1416" w:type="dxa"/>
          </w:tcPr>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8,164,700</w:t>
            </w:r>
          </w:p>
        </w:tc>
      </w:tr>
      <w:tr w:rsidR="005C1548" w:rsidRPr="005C1548" w:rsidTr="00DD7842">
        <w:trPr>
          <w:jc w:val="center"/>
        </w:trPr>
        <w:tc>
          <w:tcPr>
            <w:tcW w:w="1264" w:type="dxa"/>
          </w:tcPr>
          <w:p w:rsidR="005C1548" w:rsidRPr="005C1548" w:rsidRDefault="005C1548" w:rsidP="005C1548">
            <w:pPr>
              <w:spacing w:before="120" w:after="120" w:line="240" w:lineRule="auto"/>
              <w:rPr>
                <w:rFonts w:ascii="Times New Roman" w:hAnsi="Times New Roman"/>
                <w:sz w:val="24"/>
                <w:szCs w:val="24"/>
              </w:rPr>
            </w:pPr>
            <w:r w:rsidRPr="005C1548">
              <w:rPr>
                <w:rFonts w:ascii="Times New Roman" w:hAnsi="Times New Roman"/>
                <w:sz w:val="24"/>
                <w:szCs w:val="24"/>
              </w:rPr>
              <w:t>Year 2012</w:t>
            </w:r>
          </w:p>
        </w:tc>
        <w:tc>
          <w:tcPr>
            <w:tcW w:w="805" w:type="dxa"/>
          </w:tcPr>
          <w:p w:rsidR="005C1548" w:rsidRPr="005C1548" w:rsidRDefault="005C1548" w:rsidP="005C1548">
            <w:pPr>
              <w:spacing w:before="120" w:after="120" w:line="240" w:lineRule="auto"/>
              <w:jc w:val="center"/>
              <w:rPr>
                <w:rFonts w:ascii="Times New Roman" w:hAnsi="Times New Roman"/>
                <w:sz w:val="24"/>
                <w:szCs w:val="24"/>
              </w:rPr>
            </w:pPr>
            <w:r w:rsidRPr="005C1548">
              <w:rPr>
                <w:rFonts w:ascii="Times New Roman" w:hAnsi="Times New Roman"/>
                <w:sz w:val="24"/>
                <w:szCs w:val="24"/>
              </w:rPr>
              <w:t>119</w:t>
            </w:r>
          </w:p>
        </w:tc>
        <w:tc>
          <w:tcPr>
            <w:tcW w:w="1299" w:type="dxa"/>
          </w:tcPr>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50,000</w:t>
            </w:r>
          </w:p>
        </w:tc>
        <w:tc>
          <w:tcPr>
            <w:tcW w:w="1416" w:type="dxa"/>
          </w:tcPr>
          <w:p w:rsidR="005C1548" w:rsidRPr="005C1548" w:rsidRDefault="005C1548" w:rsidP="005C1548">
            <w:pPr>
              <w:spacing w:before="120" w:after="120" w:line="240" w:lineRule="auto"/>
              <w:jc w:val="right"/>
              <w:rPr>
                <w:rFonts w:ascii="Times New Roman" w:hAnsi="Times New Roman"/>
                <w:color w:val="000000"/>
                <w:sz w:val="24"/>
                <w:szCs w:val="24"/>
              </w:rPr>
            </w:pPr>
            <w:r w:rsidRPr="005C1548">
              <w:rPr>
                <w:rFonts w:ascii="Times New Roman" w:hAnsi="Times New Roman"/>
                <w:color w:val="000000"/>
                <w:sz w:val="24"/>
                <w:szCs w:val="24"/>
              </w:rPr>
              <w:t>147,910,170</w:t>
            </w:r>
          </w:p>
        </w:tc>
        <w:tc>
          <w:tcPr>
            <w:tcW w:w="1312" w:type="dxa"/>
          </w:tcPr>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1,841,526</w:t>
            </w:r>
          </w:p>
        </w:tc>
        <w:tc>
          <w:tcPr>
            <w:tcW w:w="1416" w:type="dxa"/>
          </w:tcPr>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6,997,845</w:t>
            </w:r>
          </w:p>
        </w:tc>
        <w:tc>
          <w:tcPr>
            <w:tcW w:w="1416" w:type="dxa"/>
          </w:tcPr>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156,799,541</w:t>
            </w:r>
          </w:p>
        </w:tc>
      </w:tr>
      <w:tr w:rsidR="005C1548" w:rsidRPr="005C1548" w:rsidTr="00DD7842">
        <w:trPr>
          <w:jc w:val="center"/>
        </w:trPr>
        <w:tc>
          <w:tcPr>
            <w:tcW w:w="1264" w:type="dxa"/>
          </w:tcPr>
          <w:p w:rsidR="005C1548" w:rsidRPr="005C1548" w:rsidRDefault="005C1548" w:rsidP="005C1548">
            <w:pPr>
              <w:spacing w:before="120" w:after="120" w:line="240" w:lineRule="auto"/>
              <w:rPr>
                <w:rFonts w:ascii="Times New Roman" w:hAnsi="Times New Roman"/>
                <w:sz w:val="24"/>
                <w:szCs w:val="24"/>
              </w:rPr>
            </w:pPr>
            <w:r w:rsidRPr="005C1548">
              <w:rPr>
                <w:rFonts w:ascii="Times New Roman" w:hAnsi="Times New Roman"/>
                <w:sz w:val="24"/>
                <w:szCs w:val="24"/>
              </w:rPr>
              <w:t>Year 2013</w:t>
            </w:r>
          </w:p>
        </w:tc>
        <w:tc>
          <w:tcPr>
            <w:tcW w:w="805" w:type="dxa"/>
          </w:tcPr>
          <w:p w:rsidR="005C1548" w:rsidRPr="005C1548" w:rsidRDefault="005C1548" w:rsidP="005C1548">
            <w:pPr>
              <w:spacing w:before="120" w:after="120" w:line="240" w:lineRule="auto"/>
              <w:jc w:val="center"/>
              <w:rPr>
                <w:rFonts w:ascii="Times New Roman" w:hAnsi="Times New Roman"/>
                <w:sz w:val="24"/>
                <w:szCs w:val="24"/>
              </w:rPr>
            </w:pPr>
            <w:r w:rsidRPr="005C1548">
              <w:rPr>
                <w:rFonts w:ascii="Times New Roman" w:hAnsi="Times New Roman"/>
                <w:sz w:val="24"/>
                <w:szCs w:val="24"/>
              </w:rPr>
              <w:t>125</w:t>
            </w:r>
          </w:p>
        </w:tc>
        <w:tc>
          <w:tcPr>
            <w:tcW w:w="1299" w:type="dxa"/>
          </w:tcPr>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300,000</w:t>
            </w:r>
          </w:p>
        </w:tc>
        <w:tc>
          <w:tcPr>
            <w:tcW w:w="1416" w:type="dxa"/>
          </w:tcPr>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20,661,117</w:t>
            </w:r>
          </w:p>
        </w:tc>
        <w:tc>
          <w:tcPr>
            <w:tcW w:w="1312" w:type="dxa"/>
          </w:tcPr>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2,749,624</w:t>
            </w:r>
          </w:p>
        </w:tc>
        <w:tc>
          <w:tcPr>
            <w:tcW w:w="1416" w:type="dxa"/>
          </w:tcPr>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22,125,282</w:t>
            </w:r>
          </w:p>
        </w:tc>
        <w:tc>
          <w:tcPr>
            <w:tcW w:w="1416" w:type="dxa"/>
          </w:tcPr>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45,836,023</w:t>
            </w:r>
          </w:p>
        </w:tc>
      </w:tr>
      <w:tr w:rsidR="005C1548" w:rsidRPr="005C1548" w:rsidTr="00DD7842">
        <w:trPr>
          <w:jc w:val="center"/>
        </w:trPr>
        <w:tc>
          <w:tcPr>
            <w:tcW w:w="1264" w:type="dxa"/>
          </w:tcPr>
          <w:p w:rsidR="005C1548" w:rsidRPr="005C1548" w:rsidRDefault="005C1548" w:rsidP="005C1548">
            <w:pPr>
              <w:spacing w:before="120" w:after="120" w:line="240" w:lineRule="auto"/>
              <w:rPr>
                <w:rFonts w:ascii="Times New Roman" w:hAnsi="Times New Roman"/>
                <w:sz w:val="24"/>
                <w:szCs w:val="24"/>
              </w:rPr>
            </w:pPr>
            <w:r w:rsidRPr="005C1548">
              <w:rPr>
                <w:rFonts w:ascii="Times New Roman" w:hAnsi="Times New Roman"/>
                <w:sz w:val="24"/>
                <w:szCs w:val="24"/>
              </w:rPr>
              <w:t>Year 2014</w:t>
            </w:r>
          </w:p>
        </w:tc>
        <w:tc>
          <w:tcPr>
            <w:tcW w:w="805" w:type="dxa"/>
          </w:tcPr>
          <w:p w:rsidR="005C1548" w:rsidRPr="005C1548" w:rsidRDefault="005C1548" w:rsidP="005C1548">
            <w:pPr>
              <w:spacing w:before="120" w:after="120" w:line="240" w:lineRule="auto"/>
              <w:jc w:val="center"/>
              <w:rPr>
                <w:rFonts w:ascii="Times New Roman" w:hAnsi="Times New Roman"/>
                <w:sz w:val="24"/>
                <w:szCs w:val="24"/>
              </w:rPr>
            </w:pPr>
            <w:r w:rsidRPr="005C1548">
              <w:rPr>
                <w:rFonts w:ascii="Times New Roman" w:hAnsi="Times New Roman"/>
                <w:sz w:val="24"/>
                <w:szCs w:val="24"/>
              </w:rPr>
              <w:t>181</w:t>
            </w:r>
          </w:p>
        </w:tc>
        <w:tc>
          <w:tcPr>
            <w:tcW w:w="1299" w:type="dxa"/>
          </w:tcPr>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1,291,449</w:t>
            </w:r>
          </w:p>
        </w:tc>
        <w:tc>
          <w:tcPr>
            <w:tcW w:w="1416" w:type="dxa"/>
          </w:tcPr>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38,811,265</w:t>
            </w:r>
          </w:p>
        </w:tc>
        <w:tc>
          <w:tcPr>
            <w:tcW w:w="1312" w:type="dxa"/>
          </w:tcPr>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56,612,537</w:t>
            </w:r>
          </w:p>
        </w:tc>
        <w:tc>
          <w:tcPr>
            <w:tcW w:w="1416" w:type="dxa"/>
          </w:tcPr>
          <w:p w:rsidR="005C1548" w:rsidRPr="005C1548" w:rsidRDefault="005C1548" w:rsidP="005C1548">
            <w:pPr>
              <w:spacing w:before="120" w:after="120" w:line="240" w:lineRule="auto"/>
              <w:jc w:val="right"/>
              <w:rPr>
                <w:rFonts w:ascii="Times New Roman" w:hAnsi="Times New Roman"/>
                <w:color w:val="000000"/>
                <w:sz w:val="24"/>
                <w:szCs w:val="24"/>
              </w:rPr>
            </w:pPr>
            <w:r w:rsidRPr="005C1548">
              <w:rPr>
                <w:rFonts w:ascii="Times New Roman" w:hAnsi="Times New Roman"/>
                <w:color w:val="000000"/>
                <w:sz w:val="24"/>
                <w:szCs w:val="24"/>
              </w:rPr>
              <w:t>37,290,694</w:t>
            </w:r>
          </w:p>
        </w:tc>
        <w:tc>
          <w:tcPr>
            <w:tcW w:w="1416" w:type="dxa"/>
          </w:tcPr>
          <w:p w:rsidR="005C1548" w:rsidRPr="005C1548" w:rsidRDefault="005C1548" w:rsidP="005C1548">
            <w:pPr>
              <w:spacing w:before="120" w:after="120" w:line="240" w:lineRule="auto"/>
              <w:jc w:val="right"/>
              <w:rPr>
                <w:rFonts w:ascii="Times New Roman" w:hAnsi="Times New Roman"/>
                <w:sz w:val="24"/>
                <w:szCs w:val="24"/>
              </w:rPr>
            </w:pPr>
            <w:r w:rsidRPr="005C1548">
              <w:rPr>
                <w:rFonts w:ascii="Times New Roman" w:hAnsi="Times New Roman"/>
                <w:sz w:val="24"/>
                <w:szCs w:val="24"/>
              </w:rPr>
              <w:t>134,005,945</w:t>
            </w:r>
          </w:p>
        </w:tc>
      </w:tr>
      <w:tr w:rsidR="005C1548" w:rsidRPr="005C1548" w:rsidTr="00DD7842">
        <w:trPr>
          <w:jc w:val="center"/>
        </w:trPr>
        <w:tc>
          <w:tcPr>
            <w:tcW w:w="1264" w:type="dxa"/>
          </w:tcPr>
          <w:p w:rsidR="005C1548" w:rsidRPr="005C1548" w:rsidRDefault="005C1548" w:rsidP="005C1548">
            <w:pPr>
              <w:spacing w:before="120" w:after="120" w:line="240" w:lineRule="auto"/>
              <w:rPr>
                <w:rFonts w:ascii="Times New Roman" w:hAnsi="Times New Roman"/>
                <w:b/>
                <w:sz w:val="24"/>
                <w:szCs w:val="24"/>
              </w:rPr>
            </w:pPr>
            <w:r w:rsidRPr="005C1548">
              <w:rPr>
                <w:rFonts w:ascii="Times New Roman" w:hAnsi="Times New Roman"/>
                <w:b/>
                <w:sz w:val="24"/>
                <w:szCs w:val="24"/>
              </w:rPr>
              <w:t>Total</w:t>
            </w:r>
          </w:p>
        </w:tc>
        <w:tc>
          <w:tcPr>
            <w:tcW w:w="805" w:type="dxa"/>
          </w:tcPr>
          <w:p w:rsidR="005C1548" w:rsidRPr="005C1548" w:rsidRDefault="005C1548" w:rsidP="005C1548">
            <w:pPr>
              <w:spacing w:before="120" w:after="120" w:line="240" w:lineRule="auto"/>
              <w:jc w:val="center"/>
              <w:rPr>
                <w:rFonts w:ascii="Times New Roman" w:hAnsi="Times New Roman"/>
                <w:b/>
                <w:sz w:val="24"/>
                <w:szCs w:val="24"/>
              </w:rPr>
            </w:pPr>
            <w:r w:rsidRPr="005C1548">
              <w:rPr>
                <w:rFonts w:ascii="Times New Roman" w:hAnsi="Times New Roman"/>
                <w:b/>
                <w:sz w:val="24"/>
                <w:szCs w:val="24"/>
              </w:rPr>
              <w:t>715</w:t>
            </w:r>
          </w:p>
        </w:tc>
        <w:tc>
          <w:tcPr>
            <w:tcW w:w="1299" w:type="dxa"/>
          </w:tcPr>
          <w:p w:rsidR="005C1548" w:rsidRPr="005C1548" w:rsidRDefault="005C1548" w:rsidP="005C1548">
            <w:pPr>
              <w:spacing w:before="120" w:after="120" w:line="240" w:lineRule="auto"/>
              <w:jc w:val="right"/>
              <w:rPr>
                <w:rFonts w:ascii="Times New Roman" w:hAnsi="Times New Roman"/>
                <w:b/>
                <w:sz w:val="24"/>
                <w:szCs w:val="24"/>
              </w:rPr>
            </w:pPr>
            <w:r w:rsidRPr="005C1548">
              <w:rPr>
                <w:rFonts w:ascii="Times New Roman" w:hAnsi="Times New Roman"/>
                <w:b/>
                <w:sz w:val="24"/>
                <w:szCs w:val="24"/>
              </w:rPr>
              <w:t>5,300,348</w:t>
            </w:r>
          </w:p>
        </w:tc>
        <w:tc>
          <w:tcPr>
            <w:tcW w:w="1416" w:type="dxa"/>
          </w:tcPr>
          <w:p w:rsidR="005C1548" w:rsidRPr="005C1548" w:rsidRDefault="005C1548" w:rsidP="005C1548">
            <w:pPr>
              <w:spacing w:before="120" w:after="120" w:line="240" w:lineRule="auto"/>
              <w:jc w:val="right"/>
              <w:rPr>
                <w:rFonts w:ascii="Times New Roman" w:hAnsi="Times New Roman"/>
                <w:b/>
                <w:sz w:val="24"/>
                <w:szCs w:val="24"/>
              </w:rPr>
            </w:pPr>
            <w:r w:rsidRPr="005C1548">
              <w:rPr>
                <w:rFonts w:ascii="Times New Roman" w:hAnsi="Times New Roman"/>
                <w:b/>
                <w:sz w:val="24"/>
                <w:szCs w:val="24"/>
              </w:rPr>
              <w:t>346,227,436</w:t>
            </w:r>
          </w:p>
        </w:tc>
        <w:tc>
          <w:tcPr>
            <w:tcW w:w="1312" w:type="dxa"/>
          </w:tcPr>
          <w:p w:rsidR="005C1548" w:rsidRPr="005C1548" w:rsidRDefault="005C1548" w:rsidP="005C1548">
            <w:pPr>
              <w:spacing w:before="120" w:after="120" w:line="240" w:lineRule="auto"/>
              <w:jc w:val="right"/>
              <w:rPr>
                <w:rFonts w:ascii="Times New Roman" w:hAnsi="Times New Roman"/>
                <w:b/>
                <w:sz w:val="24"/>
                <w:szCs w:val="24"/>
              </w:rPr>
            </w:pPr>
            <w:r w:rsidRPr="005C1548">
              <w:rPr>
                <w:rFonts w:ascii="Times New Roman" w:hAnsi="Times New Roman"/>
                <w:b/>
                <w:sz w:val="24"/>
                <w:szCs w:val="24"/>
              </w:rPr>
              <w:t>61,203,687</w:t>
            </w:r>
          </w:p>
        </w:tc>
        <w:tc>
          <w:tcPr>
            <w:tcW w:w="1416" w:type="dxa"/>
          </w:tcPr>
          <w:p w:rsidR="005C1548" w:rsidRPr="005C1548" w:rsidRDefault="005C1548" w:rsidP="005C1548">
            <w:pPr>
              <w:spacing w:before="120" w:after="120" w:line="240" w:lineRule="auto"/>
              <w:jc w:val="right"/>
              <w:rPr>
                <w:rFonts w:ascii="Times New Roman" w:hAnsi="Times New Roman"/>
                <w:b/>
                <w:sz w:val="24"/>
                <w:szCs w:val="24"/>
              </w:rPr>
            </w:pPr>
            <w:r w:rsidRPr="005C1548">
              <w:rPr>
                <w:rFonts w:ascii="Times New Roman" w:hAnsi="Times New Roman"/>
                <w:b/>
                <w:sz w:val="24"/>
                <w:szCs w:val="24"/>
              </w:rPr>
              <w:t>208,494,269</w:t>
            </w:r>
          </w:p>
        </w:tc>
        <w:tc>
          <w:tcPr>
            <w:tcW w:w="1416" w:type="dxa"/>
          </w:tcPr>
          <w:p w:rsidR="005C1548" w:rsidRPr="005C1548" w:rsidRDefault="005C1548" w:rsidP="005C1548">
            <w:pPr>
              <w:spacing w:before="120" w:after="120" w:line="240" w:lineRule="auto"/>
              <w:jc w:val="right"/>
              <w:rPr>
                <w:rFonts w:ascii="Times New Roman" w:hAnsi="Times New Roman"/>
                <w:b/>
                <w:sz w:val="24"/>
                <w:szCs w:val="24"/>
              </w:rPr>
            </w:pPr>
            <w:r w:rsidRPr="005C1548">
              <w:rPr>
                <w:rFonts w:ascii="Times New Roman" w:hAnsi="Times New Roman"/>
                <w:b/>
                <w:sz w:val="24"/>
                <w:szCs w:val="24"/>
              </w:rPr>
              <w:t>621,225,740</w:t>
            </w:r>
          </w:p>
        </w:tc>
      </w:tr>
    </w:tbl>
    <w:p w:rsidR="005C1548" w:rsidRPr="005C1548" w:rsidRDefault="005C1548" w:rsidP="005C1548">
      <w:pPr>
        <w:pBdr>
          <w:bottom w:val="single" w:sz="4" w:space="1" w:color="auto"/>
        </w:pBdr>
        <w:spacing w:after="0" w:line="240" w:lineRule="auto"/>
        <w:jc w:val="both"/>
        <w:rPr>
          <w:rFonts w:ascii="Times New Roman" w:hAnsi="Times New Roman"/>
          <w:b/>
          <w:sz w:val="24"/>
          <w:szCs w:val="24"/>
        </w:rPr>
      </w:pPr>
    </w:p>
    <w:p w:rsidR="005C1548" w:rsidRDefault="005C1548" w:rsidP="005C1548">
      <w:pPr>
        <w:spacing w:after="0" w:line="240" w:lineRule="auto"/>
        <w:jc w:val="both"/>
        <w:rPr>
          <w:rFonts w:ascii="Times New Roman" w:hAnsi="Times New Roman"/>
          <w:b/>
          <w:sz w:val="24"/>
          <w:szCs w:val="24"/>
        </w:rPr>
      </w:pPr>
    </w:p>
    <w:p w:rsidR="005C1548" w:rsidRDefault="005C1548" w:rsidP="005C1548">
      <w:pPr>
        <w:spacing w:after="0" w:line="240" w:lineRule="auto"/>
        <w:jc w:val="both"/>
        <w:rPr>
          <w:rFonts w:ascii="Times New Roman" w:hAnsi="Times New Roman"/>
          <w:b/>
          <w:sz w:val="24"/>
          <w:szCs w:val="24"/>
        </w:rPr>
      </w:pPr>
    </w:p>
    <w:p w:rsidR="005C1548" w:rsidRPr="00DD7842" w:rsidRDefault="00993958" w:rsidP="005C1548">
      <w:pPr>
        <w:spacing w:after="0" w:line="240" w:lineRule="auto"/>
        <w:jc w:val="both"/>
        <w:rPr>
          <w:rFonts w:ascii="Times New Roman" w:hAnsi="Times New Roman"/>
          <w:b/>
          <w:i/>
          <w:sz w:val="24"/>
          <w:szCs w:val="24"/>
        </w:rPr>
      </w:pPr>
      <w:r>
        <w:rPr>
          <w:rFonts w:ascii="Times New Roman" w:hAnsi="Times New Roman"/>
          <w:b/>
          <w:i/>
          <w:sz w:val="24"/>
          <w:szCs w:val="24"/>
        </w:rPr>
        <w:t>Observations</w:t>
      </w:r>
    </w:p>
    <w:p w:rsidR="005C1548" w:rsidRDefault="005C1548" w:rsidP="005C1548">
      <w:pPr>
        <w:spacing w:after="0" w:line="240" w:lineRule="auto"/>
        <w:jc w:val="both"/>
        <w:rPr>
          <w:rFonts w:ascii="Times New Roman" w:hAnsi="Times New Roman"/>
          <w:i/>
          <w:sz w:val="24"/>
          <w:szCs w:val="24"/>
        </w:rPr>
      </w:pPr>
    </w:p>
    <w:p w:rsidR="00993958" w:rsidRPr="005C1548" w:rsidRDefault="00993958" w:rsidP="00C25EE5">
      <w:pPr>
        <w:spacing w:after="0" w:line="240" w:lineRule="auto"/>
        <w:rPr>
          <w:rFonts w:ascii="Times New Roman" w:hAnsi="Times New Roman"/>
          <w:i/>
          <w:sz w:val="24"/>
          <w:szCs w:val="24"/>
        </w:rPr>
      </w:pPr>
    </w:p>
    <w:p w:rsidR="005C1548" w:rsidRPr="005C1548" w:rsidRDefault="00127C2B" w:rsidP="00DD7842">
      <w:pPr>
        <w:spacing w:after="0" w:line="240" w:lineRule="auto"/>
        <w:jc w:val="both"/>
        <w:rPr>
          <w:rFonts w:ascii="Times New Roman" w:hAnsi="Times New Roman"/>
          <w:b/>
          <w:i/>
          <w:color w:val="000000"/>
          <w:sz w:val="24"/>
          <w:szCs w:val="24"/>
        </w:rPr>
      </w:pPr>
      <w:proofErr w:type="gramStart"/>
      <w:r>
        <w:rPr>
          <w:rFonts w:ascii="Times New Roman" w:hAnsi="Times New Roman"/>
          <w:b/>
          <w:i/>
          <w:color w:val="000000"/>
          <w:sz w:val="24"/>
          <w:szCs w:val="24"/>
        </w:rPr>
        <w:t>6.</w:t>
      </w:r>
      <w:r w:rsidR="0025496D">
        <w:rPr>
          <w:rFonts w:ascii="Times New Roman" w:hAnsi="Times New Roman"/>
          <w:b/>
          <w:i/>
          <w:color w:val="000000"/>
          <w:sz w:val="24"/>
          <w:szCs w:val="24"/>
        </w:rPr>
        <w:t>3</w:t>
      </w:r>
      <w:r w:rsidR="00993958">
        <w:rPr>
          <w:rFonts w:ascii="Times New Roman" w:hAnsi="Times New Roman"/>
          <w:b/>
          <w:i/>
          <w:color w:val="000000"/>
          <w:sz w:val="24"/>
          <w:szCs w:val="24"/>
        </w:rPr>
        <w:t xml:space="preserve">.1  </w:t>
      </w:r>
      <w:r w:rsidR="005C1548" w:rsidRPr="005C1548">
        <w:rPr>
          <w:rFonts w:ascii="Times New Roman" w:hAnsi="Times New Roman"/>
          <w:b/>
          <w:i/>
          <w:color w:val="000000"/>
          <w:sz w:val="24"/>
          <w:szCs w:val="24"/>
        </w:rPr>
        <w:t>General</w:t>
      </w:r>
      <w:proofErr w:type="gramEnd"/>
    </w:p>
    <w:p w:rsidR="005C1548" w:rsidRPr="005C1548" w:rsidRDefault="005C1548" w:rsidP="005C1548">
      <w:pPr>
        <w:spacing w:after="0" w:line="240" w:lineRule="auto"/>
        <w:jc w:val="both"/>
        <w:rPr>
          <w:rFonts w:ascii="Times New Roman" w:hAnsi="Times New Roman"/>
          <w:b/>
          <w:i/>
          <w:sz w:val="24"/>
          <w:szCs w:val="24"/>
        </w:rPr>
      </w:pPr>
    </w:p>
    <w:p w:rsidR="005C1548" w:rsidRPr="005C1548" w:rsidRDefault="009C13D3" w:rsidP="00DD7842">
      <w:pPr>
        <w:numPr>
          <w:ilvl w:val="0"/>
          <w:numId w:val="15"/>
        </w:numPr>
        <w:spacing w:after="0" w:line="240" w:lineRule="auto"/>
        <w:ind w:left="360"/>
        <w:contextualSpacing/>
        <w:jc w:val="both"/>
        <w:rPr>
          <w:rFonts w:ascii="Times New Roman" w:hAnsi="Times New Roman"/>
          <w:sz w:val="24"/>
          <w:szCs w:val="24"/>
        </w:rPr>
      </w:pPr>
      <w:r>
        <w:rPr>
          <w:rFonts w:ascii="Times New Roman" w:hAnsi="Times New Roman"/>
          <w:color w:val="000000"/>
          <w:sz w:val="24"/>
          <w:szCs w:val="24"/>
        </w:rPr>
        <w:t>The Statement of A</w:t>
      </w:r>
      <w:r w:rsidR="005C1548" w:rsidRPr="005C1548">
        <w:rPr>
          <w:rFonts w:ascii="Times New Roman" w:hAnsi="Times New Roman"/>
          <w:color w:val="000000"/>
          <w:sz w:val="24"/>
          <w:szCs w:val="24"/>
        </w:rPr>
        <w:t>rrears was drawn up man</w:t>
      </w:r>
      <w:r>
        <w:rPr>
          <w:rFonts w:ascii="Times New Roman" w:hAnsi="Times New Roman"/>
          <w:color w:val="000000"/>
          <w:sz w:val="24"/>
          <w:szCs w:val="24"/>
        </w:rPr>
        <w:t xml:space="preserve">ually as debts prior to 2012 </w:t>
      </w:r>
      <w:proofErr w:type="spellStart"/>
      <w:r>
        <w:rPr>
          <w:rFonts w:ascii="Times New Roman" w:hAnsi="Times New Roman"/>
          <w:color w:val="000000"/>
          <w:sz w:val="24"/>
          <w:szCs w:val="24"/>
        </w:rPr>
        <w:t>totalling</w:t>
      </w:r>
      <w:proofErr w:type="spellEnd"/>
      <w:r w:rsidR="005C1548" w:rsidRPr="005C1548">
        <w:rPr>
          <w:rFonts w:ascii="Times New Roman" w:hAnsi="Times New Roman"/>
          <w:color w:val="000000"/>
          <w:sz w:val="24"/>
          <w:szCs w:val="24"/>
        </w:rPr>
        <w:t xml:space="preserve"> </w:t>
      </w:r>
      <w:r w:rsidR="005C1548" w:rsidRPr="005C1548">
        <w:rPr>
          <w:rFonts w:ascii="Times New Roman" w:hAnsi="Times New Roman"/>
          <w:sz w:val="24"/>
          <w:szCs w:val="24"/>
        </w:rPr>
        <w:t xml:space="preserve">some </w:t>
      </w:r>
      <w:r w:rsidR="00E031B1">
        <w:rPr>
          <w:rFonts w:ascii="Times New Roman" w:hAnsi="Times New Roman"/>
          <w:sz w:val="24"/>
          <w:szCs w:val="24"/>
        </w:rPr>
        <w:br/>
      </w:r>
      <w:r w:rsidR="005C1548" w:rsidRPr="005C1548">
        <w:rPr>
          <w:rFonts w:ascii="Times New Roman" w:hAnsi="Times New Roman"/>
          <w:sz w:val="24"/>
          <w:szCs w:val="24"/>
        </w:rPr>
        <w:t>Rs 284.6 million</w:t>
      </w:r>
      <w:r w:rsidR="005C1548" w:rsidRPr="005C1548">
        <w:rPr>
          <w:rFonts w:ascii="Times New Roman" w:hAnsi="Times New Roman"/>
          <w:color w:val="000000"/>
          <w:sz w:val="24"/>
          <w:szCs w:val="24"/>
        </w:rPr>
        <w:t xml:space="preserve"> were not included in the Customs Management System (CMS).</w:t>
      </w:r>
      <w:r w:rsidR="005C1548" w:rsidRPr="005C1548">
        <w:rPr>
          <w:rFonts w:ascii="Times New Roman" w:hAnsi="Times New Roman"/>
          <w:sz w:val="24"/>
          <w:szCs w:val="24"/>
        </w:rPr>
        <w:t xml:space="preserve"> </w:t>
      </w:r>
    </w:p>
    <w:p w:rsidR="005C1548" w:rsidRPr="005C1548" w:rsidRDefault="005C1548" w:rsidP="00DD7842">
      <w:pPr>
        <w:spacing w:after="0" w:line="240" w:lineRule="auto"/>
        <w:ind w:left="360"/>
        <w:contextualSpacing/>
        <w:jc w:val="both"/>
        <w:rPr>
          <w:rFonts w:ascii="Times New Roman" w:hAnsi="Times New Roman"/>
          <w:sz w:val="24"/>
          <w:szCs w:val="24"/>
        </w:rPr>
      </w:pPr>
    </w:p>
    <w:p w:rsidR="005C1548" w:rsidRPr="005C1548" w:rsidRDefault="005C1548" w:rsidP="00DD7842">
      <w:pPr>
        <w:numPr>
          <w:ilvl w:val="0"/>
          <w:numId w:val="15"/>
        </w:numPr>
        <w:spacing w:after="0" w:line="240" w:lineRule="auto"/>
        <w:ind w:left="360"/>
        <w:contextualSpacing/>
        <w:jc w:val="both"/>
        <w:rPr>
          <w:rFonts w:ascii="Times New Roman" w:hAnsi="Times New Roman"/>
          <w:sz w:val="24"/>
          <w:szCs w:val="24"/>
        </w:rPr>
      </w:pPr>
      <w:r w:rsidRPr="005C1548">
        <w:rPr>
          <w:rFonts w:ascii="Times New Roman" w:hAnsi="Times New Roman"/>
          <w:sz w:val="24"/>
          <w:szCs w:val="24"/>
        </w:rPr>
        <w:t xml:space="preserve">The total amount of debts raised in respect of claims for period 2012 to 2014 as per Return of </w:t>
      </w:r>
      <w:r w:rsidR="009C13D3">
        <w:rPr>
          <w:rFonts w:ascii="Times New Roman" w:hAnsi="Times New Roman"/>
          <w:sz w:val="24"/>
          <w:szCs w:val="24"/>
        </w:rPr>
        <w:t xml:space="preserve">Arrears of Revenue differed from </w:t>
      </w:r>
      <w:r w:rsidRPr="005C1548">
        <w:rPr>
          <w:rFonts w:ascii="Times New Roman" w:hAnsi="Times New Roman"/>
          <w:sz w:val="24"/>
          <w:szCs w:val="24"/>
        </w:rPr>
        <w:t xml:space="preserve">the balance of debts in the CMS by </w:t>
      </w:r>
      <w:r w:rsidR="00993958">
        <w:rPr>
          <w:rFonts w:ascii="Times New Roman" w:hAnsi="Times New Roman"/>
          <w:sz w:val="24"/>
          <w:szCs w:val="24"/>
        </w:rPr>
        <w:br/>
      </w:r>
      <w:r w:rsidRPr="005C1548">
        <w:rPr>
          <w:rFonts w:ascii="Times New Roman" w:hAnsi="Times New Roman"/>
          <w:sz w:val="24"/>
          <w:szCs w:val="24"/>
        </w:rPr>
        <w:t>Rs 61.5 million. No reconciliation</w:t>
      </w:r>
      <w:r w:rsidR="009C13D3">
        <w:rPr>
          <w:rFonts w:ascii="Times New Roman" w:hAnsi="Times New Roman"/>
          <w:sz w:val="24"/>
          <w:szCs w:val="24"/>
        </w:rPr>
        <w:t xml:space="preserve"> exercise</w:t>
      </w:r>
      <w:r w:rsidRPr="005C1548">
        <w:rPr>
          <w:rFonts w:ascii="Times New Roman" w:hAnsi="Times New Roman"/>
          <w:sz w:val="24"/>
          <w:szCs w:val="24"/>
        </w:rPr>
        <w:t xml:space="preserve"> was carried out to tally these two figures.</w:t>
      </w:r>
    </w:p>
    <w:p w:rsidR="00993958" w:rsidRDefault="00993958" w:rsidP="005C1548">
      <w:pPr>
        <w:spacing w:after="0" w:line="240" w:lineRule="auto"/>
        <w:jc w:val="both"/>
        <w:rPr>
          <w:rFonts w:ascii="Times New Roman" w:hAnsi="Times New Roman"/>
          <w:sz w:val="24"/>
          <w:szCs w:val="24"/>
        </w:rPr>
      </w:pPr>
    </w:p>
    <w:p w:rsidR="005C1548" w:rsidRPr="005C1548" w:rsidRDefault="002E666A" w:rsidP="005C1548">
      <w:pPr>
        <w:spacing w:after="0" w:line="240" w:lineRule="auto"/>
        <w:jc w:val="both"/>
        <w:rPr>
          <w:rFonts w:ascii="Times New Roman" w:hAnsi="Times New Roman"/>
          <w:b/>
          <w:i/>
          <w:sz w:val="24"/>
          <w:szCs w:val="24"/>
        </w:rPr>
      </w:pPr>
      <w:r>
        <w:rPr>
          <w:rFonts w:ascii="Times New Roman" w:hAnsi="Times New Roman"/>
          <w:b/>
          <w:i/>
          <w:sz w:val="24"/>
          <w:szCs w:val="24"/>
        </w:rPr>
        <w:t>Management’s</w:t>
      </w:r>
      <w:r w:rsidR="005C1548" w:rsidRPr="005C1548">
        <w:rPr>
          <w:rFonts w:ascii="Times New Roman" w:hAnsi="Times New Roman"/>
          <w:b/>
          <w:i/>
          <w:sz w:val="24"/>
          <w:szCs w:val="24"/>
        </w:rPr>
        <w:t xml:space="preserve"> Reply</w:t>
      </w:r>
    </w:p>
    <w:p w:rsidR="005C1548" w:rsidRDefault="005C1548" w:rsidP="005C1548">
      <w:pPr>
        <w:spacing w:after="0" w:line="240" w:lineRule="auto"/>
        <w:contextualSpacing/>
        <w:jc w:val="both"/>
        <w:rPr>
          <w:rFonts w:ascii="Times New Roman" w:hAnsi="Times New Roman"/>
          <w:sz w:val="24"/>
          <w:szCs w:val="24"/>
        </w:rPr>
      </w:pPr>
    </w:p>
    <w:p w:rsidR="00423355" w:rsidRDefault="00423355" w:rsidP="00423355">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At the time of creation of the COR Module in 2010 and CDMS Module in 2012, a cut-off date was established by the MRA.</w:t>
      </w:r>
      <w:r w:rsidR="000B054E">
        <w:rPr>
          <w:rFonts w:ascii="Times New Roman" w:hAnsi="Times New Roman"/>
          <w:sz w:val="24"/>
          <w:szCs w:val="24"/>
        </w:rPr>
        <w:t xml:space="preserve"> </w:t>
      </w:r>
      <w:r>
        <w:rPr>
          <w:rFonts w:ascii="Times New Roman" w:hAnsi="Times New Roman"/>
          <w:sz w:val="24"/>
          <w:szCs w:val="24"/>
        </w:rPr>
        <w:t>All unsettled CORs and claims prior to the above periods were</w:t>
      </w:r>
      <w:r w:rsidR="00F56386">
        <w:rPr>
          <w:rFonts w:ascii="Times New Roman" w:hAnsi="Times New Roman"/>
          <w:sz w:val="24"/>
          <w:szCs w:val="24"/>
        </w:rPr>
        <w:t xml:space="preserve"> to be</w:t>
      </w:r>
      <w:r>
        <w:rPr>
          <w:rFonts w:ascii="Times New Roman" w:hAnsi="Times New Roman"/>
          <w:sz w:val="24"/>
          <w:szCs w:val="24"/>
        </w:rPr>
        <w:t xml:space="preserve"> maintained and monitored in an excel database.</w:t>
      </w:r>
    </w:p>
    <w:p w:rsidR="00423355" w:rsidRDefault="00423355" w:rsidP="00423355">
      <w:pPr>
        <w:pStyle w:val="ListParagraph"/>
        <w:spacing w:after="0" w:line="240" w:lineRule="auto"/>
        <w:ind w:left="360"/>
        <w:jc w:val="both"/>
        <w:rPr>
          <w:rFonts w:ascii="Times New Roman" w:hAnsi="Times New Roman"/>
          <w:sz w:val="24"/>
          <w:szCs w:val="24"/>
        </w:rPr>
      </w:pPr>
    </w:p>
    <w:p w:rsidR="00423355" w:rsidRPr="00CB4D20" w:rsidRDefault="00423355" w:rsidP="00423355">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All the figures submitted in the </w:t>
      </w:r>
      <w:r w:rsidR="00F56386">
        <w:rPr>
          <w:rFonts w:ascii="Times New Roman" w:hAnsi="Times New Roman"/>
          <w:sz w:val="24"/>
          <w:szCs w:val="24"/>
        </w:rPr>
        <w:t>Statement of A</w:t>
      </w:r>
      <w:r>
        <w:rPr>
          <w:rFonts w:ascii="Times New Roman" w:hAnsi="Times New Roman"/>
          <w:sz w:val="24"/>
          <w:szCs w:val="24"/>
        </w:rPr>
        <w:t>rrears have been manually checked and reconciled.</w:t>
      </w:r>
      <w:r w:rsidR="000B054E">
        <w:rPr>
          <w:rFonts w:ascii="Times New Roman" w:hAnsi="Times New Roman"/>
          <w:sz w:val="24"/>
          <w:szCs w:val="24"/>
        </w:rPr>
        <w:t xml:space="preserve"> </w:t>
      </w:r>
      <w:r>
        <w:rPr>
          <w:rFonts w:ascii="Times New Roman" w:hAnsi="Times New Roman"/>
          <w:sz w:val="24"/>
          <w:szCs w:val="24"/>
        </w:rPr>
        <w:t>MRA is prepared to look into system problems which may result in the discrepancies highlighted.</w:t>
      </w:r>
    </w:p>
    <w:p w:rsidR="00423355" w:rsidRDefault="00423355" w:rsidP="00423355">
      <w:pPr>
        <w:spacing w:after="0" w:line="240" w:lineRule="auto"/>
        <w:jc w:val="both"/>
        <w:rPr>
          <w:rFonts w:ascii="Times New Roman" w:hAnsi="Times New Roman"/>
          <w:sz w:val="24"/>
          <w:szCs w:val="24"/>
        </w:rPr>
      </w:pPr>
    </w:p>
    <w:p w:rsidR="005C1548" w:rsidRDefault="005C1548" w:rsidP="005C1548">
      <w:pPr>
        <w:spacing w:after="0" w:line="240" w:lineRule="auto"/>
        <w:jc w:val="both"/>
        <w:rPr>
          <w:rFonts w:ascii="Times New Roman" w:hAnsi="Times New Roman"/>
          <w:sz w:val="24"/>
          <w:szCs w:val="24"/>
        </w:rPr>
      </w:pPr>
    </w:p>
    <w:p w:rsidR="00127C2B" w:rsidRDefault="00127C2B">
      <w:pPr>
        <w:rPr>
          <w:rFonts w:ascii="Times New Roman" w:hAnsi="Times New Roman"/>
          <w:sz w:val="24"/>
          <w:szCs w:val="24"/>
        </w:rPr>
      </w:pPr>
      <w:r>
        <w:rPr>
          <w:rFonts w:ascii="Times New Roman" w:hAnsi="Times New Roman"/>
          <w:sz w:val="24"/>
          <w:szCs w:val="24"/>
        </w:rPr>
        <w:br w:type="page"/>
      </w:r>
    </w:p>
    <w:p w:rsidR="005C1548" w:rsidRPr="005C1548" w:rsidRDefault="00127C2B" w:rsidP="00DD7842">
      <w:pPr>
        <w:spacing w:after="0" w:line="240" w:lineRule="auto"/>
        <w:jc w:val="both"/>
        <w:rPr>
          <w:rFonts w:ascii="Times New Roman" w:hAnsi="Times New Roman"/>
          <w:b/>
          <w:i/>
          <w:sz w:val="24"/>
          <w:szCs w:val="24"/>
        </w:rPr>
      </w:pPr>
      <w:proofErr w:type="gramStart"/>
      <w:r>
        <w:rPr>
          <w:rFonts w:ascii="Times New Roman" w:hAnsi="Times New Roman"/>
          <w:b/>
          <w:i/>
          <w:sz w:val="24"/>
          <w:szCs w:val="24"/>
        </w:rPr>
        <w:lastRenderedPageBreak/>
        <w:t>6.</w:t>
      </w:r>
      <w:r w:rsidR="0025496D">
        <w:rPr>
          <w:rFonts w:ascii="Times New Roman" w:hAnsi="Times New Roman"/>
          <w:b/>
          <w:i/>
          <w:sz w:val="24"/>
          <w:szCs w:val="24"/>
        </w:rPr>
        <w:t>3</w:t>
      </w:r>
      <w:r w:rsidR="00993958">
        <w:rPr>
          <w:rFonts w:ascii="Times New Roman" w:hAnsi="Times New Roman"/>
          <w:b/>
          <w:i/>
          <w:sz w:val="24"/>
          <w:szCs w:val="24"/>
        </w:rPr>
        <w:t xml:space="preserve">.2  </w:t>
      </w:r>
      <w:r w:rsidR="00F56386">
        <w:rPr>
          <w:rFonts w:ascii="Times New Roman" w:hAnsi="Times New Roman"/>
          <w:b/>
          <w:i/>
          <w:sz w:val="24"/>
          <w:szCs w:val="24"/>
        </w:rPr>
        <w:t>Accuracy</w:t>
      </w:r>
      <w:proofErr w:type="gramEnd"/>
      <w:r w:rsidR="00F56386">
        <w:rPr>
          <w:rFonts w:ascii="Times New Roman" w:hAnsi="Times New Roman"/>
          <w:b/>
          <w:i/>
          <w:sz w:val="24"/>
          <w:szCs w:val="24"/>
        </w:rPr>
        <w:t xml:space="preserve"> of the F</w:t>
      </w:r>
      <w:r w:rsidR="005C1548" w:rsidRPr="005C1548">
        <w:rPr>
          <w:rFonts w:ascii="Times New Roman" w:hAnsi="Times New Roman"/>
          <w:b/>
          <w:i/>
          <w:sz w:val="24"/>
          <w:szCs w:val="24"/>
        </w:rPr>
        <w:t>igure - Rs 621,225,740</w:t>
      </w:r>
    </w:p>
    <w:p w:rsidR="005C1548" w:rsidRPr="005C1548" w:rsidRDefault="005C1548" w:rsidP="005C1548">
      <w:pPr>
        <w:spacing w:after="0" w:line="240" w:lineRule="auto"/>
        <w:jc w:val="both"/>
        <w:rPr>
          <w:rFonts w:ascii="Times New Roman" w:hAnsi="Times New Roman"/>
          <w:i/>
          <w:sz w:val="24"/>
          <w:szCs w:val="24"/>
        </w:rPr>
      </w:pPr>
    </w:p>
    <w:p w:rsidR="005C1548" w:rsidRPr="00DA4030" w:rsidRDefault="005C1548" w:rsidP="005C1548">
      <w:pPr>
        <w:spacing w:after="0" w:line="240" w:lineRule="auto"/>
        <w:jc w:val="both"/>
        <w:rPr>
          <w:rFonts w:ascii="Times New Roman" w:hAnsi="Times New Roman"/>
          <w:b/>
          <w:sz w:val="24"/>
          <w:szCs w:val="24"/>
        </w:rPr>
      </w:pPr>
      <w:r w:rsidRPr="005C1548">
        <w:rPr>
          <w:rFonts w:ascii="Times New Roman" w:hAnsi="Times New Roman"/>
          <w:sz w:val="24"/>
          <w:szCs w:val="24"/>
        </w:rPr>
        <w:t>The accuracy of the figure for arrears of revenue as per the Return submitted to the Accountant General could not be ascertained for the following reasons:</w:t>
      </w:r>
    </w:p>
    <w:p w:rsidR="005C1548" w:rsidRPr="00DA4030" w:rsidRDefault="005C1548" w:rsidP="005C1548">
      <w:pPr>
        <w:keepNext/>
        <w:spacing w:after="0" w:line="240" w:lineRule="auto"/>
        <w:jc w:val="both"/>
        <w:outlineLvl w:val="1"/>
        <w:rPr>
          <w:rFonts w:ascii="Times New Roman" w:eastAsia="Times New Roman" w:hAnsi="Times New Roman"/>
          <w:b/>
          <w:bCs/>
          <w:i/>
          <w:iCs/>
          <w:u w:val="single"/>
        </w:rPr>
      </w:pPr>
    </w:p>
    <w:p w:rsidR="005C1548" w:rsidRPr="005C1548" w:rsidRDefault="005C1548" w:rsidP="00DD7842">
      <w:pPr>
        <w:numPr>
          <w:ilvl w:val="0"/>
          <w:numId w:val="16"/>
        </w:numPr>
        <w:spacing w:after="0" w:line="240" w:lineRule="auto"/>
        <w:ind w:left="360"/>
        <w:jc w:val="both"/>
        <w:rPr>
          <w:rFonts w:ascii="Times New Roman" w:hAnsi="Times New Roman"/>
          <w:sz w:val="24"/>
          <w:szCs w:val="24"/>
        </w:rPr>
      </w:pPr>
      <w:r w:rsidRPr="005C1548">
        <w:rPr>
          <w:rFonts w:ascii="Times New Roman" w:hAnsi="Times New Roman"/>
          <w:sz w:val="24"/>
          <w:szCs w:val="24"/>
        </w:rPr>
        <w:t xml:space="preserve">Included in the figure of Rs 346,227,436 was an amount of some Rs 51.1 million which had been earmarked for write off as Court judgment has already been delivered or the Customs Legal Services Department has recommended </w:t>
      </w:r>
      <w:proofErr w:type="gramStart"/>
      <w:r w:rsidRPr="005C1548">
        <w:rPr>
          <w:rFonts w:ascii="Times New Roman" w:hAnsi="Times New Roman"/>
          <w:sz w:val="24"/>
          <w:szCs w:val="24"/>
        </w:rPr>
        <w:t>to set</w:t>
      </w:r>
      <w:proofErr w:type="gramEnd"/>
      <w:r w:rsidRPr="005C1548">
        <w:rPr>
          <w:rFonts w:ascii="Times New Roman" w:hAnsi="Times New Roman"/>
          <w:sz w:val="24"/>
          <w:szCs w:val="24"/>
        </w:rPr>
        <w:t xml:space="preserve"> aside these cases. </w:t>
      </w:r>
    </w:p>
    <w:p w:rsidR="005C1548" w:rsidRPr="00DA4030" w:rsidRDefault="005C1548" w:rsidP="00DD7842">
      <w:pPr>
        <w:spacing w:after="0" w:line="240" w:lineRule="auto"/>
        <w:ind w:left="360"/>
        <w:jc w:val="both"/>
        <w:rPr>
          <w:rFonts w:ascii="Times New Roman" w:hAnsi="Times New Roman"/>
        </w:rPr>
      </w:pPr>
    </w:p>
    <w:p w:rsidR="005C1548" w:rsidRPr="005C1548" w:rsidRDefault="005C1548" w:rsidP="00DD7842">
      <w:pPr>
        <w:numPr>
          <w:ilvl w:val="0"/>
          <w:numId w:val="16"/>
        </w:numPr>
        <w:spacing w:after="0" w:line="240" w:lineRule="auto"/>
        <w:ind w:left="360"/>
        <w:contextualSpacing/>
        <w:jc w:val="both"/>
        <w:rPr>
          <w:rFonts w:ascii="Times New Roman" w:hAnsi="Times New Roman"/>
          <w:b/>
          <w:sz w:val="24"/>
          <w:szCs w:val="24"/>
        </w:rPr>
      </w:pPr>
      <w:r w:rsidRPr="005C1548">
        <w:rPr>
          <w:rFonts w:ascii="Times New Roman" w:hAnsi="Times New Roman"/>
          <w:sz w:val="24"/>
          <w:szCs w:val="24"/>
        </w:rPr>
        <w:t xml:space="preserve">Further to paragraph 6.2 of the Annual Report for the year ended 31 December 2013, deferred payment in respect of Maurice Ile Durable (MID) levy, excise duties and VAT payable by State Trading Corporation (STC) relating to the financial year ending </w:t>
      </w:r>
      <w:r w:rsidR="00C525E7">
        <w:rPr>
          <w:rFonts w:ascii="Times New Roman" w:hAnsi="Times New Roman"/>
          <w:sz w:val="24"/>
          <w:szCs w:val="24"/>
        </w:rPr>
        <w:br/>
      </w:r>
      <w:r w:rsidRPr="005C1548">
        <w:rPr>
          <w:rFonts w:ascii="Times New Roman" w:hAnsi="Times New Roman"/>
          <w:sz w:val="24"/>
          <w:szCs w:val="24"/>
        </w:rPr>
        <w:t xml:space="preserve">31 December 2014 and amounting to Rs 364.5 million was not included in the Return of Arrears of Revenue. </w:t>
      </w:r>
    </w:p>
    <w:p w:rsidR="00DD7842" w:rsidRPr="00DA4030" w:rsidRDefault="00DD7842" w:rsidP="005C1548">
      <w:pPr>
        <w:spacing w:after="0" w:line="240" w:lineRule="auto"/>
        <w:jc w:val="both"/>
        <w:rPr>
          <w:rFonts w:ascii="Times New Roman" w:hAnsi="Times New Roman"/>
          <w:b/>
          <w:i/>
        </w:rPr>
      </w:pPr>
    </w:p>
    <w:p w:rsidR="00BF5560" w:rsidRPr="00DA4030" w:rsidRDefault="00BF5560" w:rsidP="005C1548">
      <w:pPr>
        <w:spacing w:after="0" w:line="240" w:lineRule="auto"/>
        <w:jc w:val="both"/>
        <w:rPr>
          <w:rFonts w:ascii="Times New Roman" w:hAnsi="Times New Roman"/>
          <w:b/>
          <w:i/>
        </w:rPr>
      </w:pPr>
    </w:p>
    <w:p w:rsidR="005C1548" w:rsidRPr="005C1548" w:rsidRDefault="002E666A" w:rsidP="005C1548">
      <w:pPr>
        <w:spacing w:after="0" w:line="240" w:lineRule="auto"/>
        <w:jc w:val="both"/>
        <w:rPr>
          <w:rFonts w:ascii="Times New Roman" w:hAnsi="Times New Roman"/>
          <w:b/>
          <w:i/>
          <w:sz w:val="24"/>
          <w:szCs w:val="24"/>
        </w:rPr>
      </w:pPr>
      <w:r>
        <w:rPr>
          <w:rFonts w:ascii="Times New Roman" w:hAnsi="Times New Roman"/>
          <w:b/>
          <w:i/>
          <w:sz w:val="24"/>
          <w:szCs w:val="24"/>
        </w:rPr>
        <w:t>Management’s</w:t>
      </w:r>
      <w:r w:rsidR="005C1548" w:rsidRPr="005C1548">
        <w:rPr>
          <w:rFonts w:ascii="Times New Roman" w:hAnsi="Times New Roman"/>
          <w:b/>
          <w:i/>
          <w:sz w:val="24"/>
          <w:szCs w:val="24"/>
        </w:rPr>
        <w:t xml:space="preserve"> Reply</w:t>
      </w:r>
    </w:p>
    <w:p w:rsidR="005C1548" w:rsidRPr="005C1548" w:rsidRDefault="005C1548" w:rsidP="005C1548">
      <w:pPr>
        <w:spacing w:after="0" w:line="240" w:lineRule="auto"/>
        <w:jc w:val="both"/>
        <w:rPr>
          <w:rFonts w:ascii="Times New Roman" w:hAnsi="Times New Roman"/>
          <w:sz w:val="24"/>
          <w:szCs w:val="24"/>
        </w:rPr>
      </w:pPr>
    </w:p>
    <w:p w:rsidR="005C1548" w:rsidRPr="005C1548" w:rsidRDefault="005C1548" w:rsidP="00DD7842">
      <w:pPr>
        <w:numPr>
          <w:ilvl w:val="0"/>
          <w:numId w:val="17"/>
        </w:numPr>
        <w:autoSpaceDE w:val="0"/>
        <w:autoSpaceDN w:val="0"/>
        <w:adjustRightInd w:val="0"/>
        <w:spacing w:after="0" w:line="240" w:lineRule="auto"/>
        <w:ind w:left="360"/>
        <w:jc w:val="both"/>
        <w:rPr>
          <w:rFonts w:ascii="Times New Roman" w:hAnsi="Times New Roman"/>
          <w:color w:val="000000"/>
          <w:sz w:val="24"/>
          <w:szCs w:val="24"/>
        </w:rPr>
      </w:pPr>
      <w:r w:rsidRPr="005C1548">
        <w:rPr>
          <w:rFonts w:ascii="Times New Roman" w:hAnsi="Times New Roman"/>
          <w:color w:val="000000"/>
          <w:sz w:val="24"/>
          <w:szCs w:val="24"/>
        </w:rPr>
        <w:t xml:space="preserve">Debts will be reduced in the Statement of Arrears of Revenue where decisions/judgments have been given by the legal institutions. For other types of debts which need to be reduced, an administrative mechanism will be put in place. </w:t>
      </w:r>
    </w:p>
    <w:p w:rsidR="005C1548" w:rsidRPr="00DA4030" w:rsidRDefault="005C1548" w:rsidP="00DD7842">
      <w:pPr>
        <w:autoSpaceDE w:val="0"/>
        <w:autoSpaceDN w:val="0"/>
        <w:adjustRightInd w:val="0"/>
        <w:spacing w:after="0" w:line="240" w:lineRule="auto"/>
        <w:jc w:val="both"/>
        <w:rPr>
          <w:rFonts w:ascii="Times New Roman" w:hAnsi="Times New Roman"/>
          <w:color w:val="000000"/>
        </w:rPr>
      </w:pPr>
    </w:p>
    <w:p w:rsidR="005C1548" w:rsidRPr="005C1548" w:rsidRDefault="005C1548" w:rsidP="00DD7842">
      <w:pPr>
        <w:numPr>
          <w:ilvl w:val="0"/>
          <w:numId w:val="17"/>
        </w:numPr>
        <w:spacing w:after="0" w:line="240" w:lineRule="auto"/>
        <w:ind w:left="360"/>
        <w:contextualSpacing/>
        <w:jc w:val="both"/>
        <w:rPr>
          <w:rFonts w:ascii="Times New Roman" w:hAnsi="Times New Roman"/>
          <w:sz w:val="24"/>
          <w:szCs w:val="24"/>
        </w:rPr>
      </w:pPr>
      <w:r w:rsidRPr="005C1548">
        <w:rPr>
          <w:rFonts w:ascii="Times New Roman" w:hAnsi="Times New Roman"/>
          <w:sz w:val="24"/>
          <w:szCs w:val="24"/>
        </w:rPr>
        <w:t>Section 8(2) of the Customs Act 1988, provides for deferred payment by the State Trading Corporation within a period of 30 days. Therefore the sum of Rs 364.5 million is considered as a deferred payment.</w:t>
      </w:r>
    </w:p>
    <w:p w:rsidR="005C1548" w:rsidRPr="00DA4030" w:rsidRDefault="005C1548" w:rsidP="005C1548">
      <w:pPr>
        <w:spacing w:after="0" w:line="240" w:lineRule="auto"/>
        <w:jc w:val="both"/>
        <w:rPr>
          <w:rFonts w:ascii="Times New Roman" w:hAnsi="Times New Roman"/>
        </w:rPr>
      </w:pPr>
    </w:p>
    <w:p w:rsidR="00423355" w:rsidRPr="00DA4030" w:rsidRDefault="00423355" w:rsidP="005C1548">
      <w:pPr>
        <w:spacing w:after="0" w:line="240" w:lineRule="auto"/>
        <w:jc w:val="both"/>
        <w:rPr>
          <w:rFonts w:ascii="Times New Roman" w:hAnsi="Times New Roman"/>
        </w:rPr>
      </w:pPr>
    </w:p>
    <w:p w:rsidR="005C1548" w:rsidRPr="005C1548" w:rsidRDefault="00127C2B" w:rsidP="00DD7842">
      <w:pPr>
        <w:spacing w:after="0" w:line="240" w:lineRule="auto"/>
        <w:jc w:val="both"/>
        <w:rPr>
          <w:rFonts w:ascii="Times New Roman" w:hAnsi="Times New Roman"/>
          <w:b/>
          <w:i/>
          <w:sz w:val="24"/>
          <w:szCs w:val="24"/>
        </w:rPr>
      </w:pPr>
      <w:proofErr w:type="gramStart"/>
      <w:r>
        <w:rPr>
          <w:rFonts w:ascii="Times New Roman" w:hAnsi="Times New Roman"/>
          <w:b/>
          <w:i/>
          <w:sz w:val="24"/>
          <w:szCs w:val="24"/>
        </w:rPr>
        <w:t>6.</w:t>
      </w:r>
      <w:r w:rsidR="0025496D">
        <w:rPr>
          <w:rFonts w:ascii="Times New Roman" w:hAnsi="Times New Roman"/>
          <w:b/>
          <w:i/>
          <w:sz w:val="24"/>
          <w:szCs w:val="24"/>
        </w:rPr>
        <w:t>3</w:t>
      </w:r>
      <w:r w:rsidR="00993958">
        <w:rPr>
          <w:rFonts w:ascii="Times New Roman" w:hAnsi="Times New Roman"/>
          <w:b/>
          <w:i/>
          <w:sz w:val="24"/>
          <w:szCs w:val="24"/>
        </w:rPr>
        <w:t>.3</w:t>
      </w:r>
      <w:r w:rsidR="00DD7842">
        <w:rPr>
          <w:rFonts w:ascii="Times New Roman" w:hAnsi="Times New Roman"/>
          <w:b/>
          <w:i/>
          <w:sz w:val="24"/>
          <w:szCs w:val="24"/>
        </w:rPr>
        <w:t xml:space="preserve">  </w:t>
      </w:r>
      <w:r w:rsidR="005C1548" w:rsidRPr="005C1548">
        <w:rPr>
          <w:rFonts w:ascii="Times New Roman" w:hAnsi="Times New Roman"/>
          <w:b/>
          <w:i/>
          <w:sz w:val="24"/>
          <w:szCs w:val="24"/>
        </w:rPr>
        <w:t>Recovery</w:t>
      </w:r>
      <w:proofErr w:type="gramEnd"/>
      <w:r w:rsidR="005C1548" w:rsidRPr="005C1548">
        <w:rPr>
          <w:rFonts w:ascii="Times New Roman" w:hAnsi="Times New Roman"/>
          <w:b/>
          <w:i/>
          <w:sz w:val="24"/>
          <w:szCs w:val="24"/>
        </w:rPr>
        <w:t xml:space="preserve"> of debts /long outstanding debts</w:t>
      </w:r>
    </w:p>
    <w:p w:rsidR="005C1548" w:rsidRPr="005C1548" w:rsidRDefault="005C1548" w:rsidP="005C1548">
      <w:pPr>
        <w:spacing w:after="0" w:line="240" w:lineRule="auto"/>
        <w:ind w:left="720"/>
        <w:jc w:val="both"/>
        <w:rPr>
          <w:rFonts w:ascii="Times New Roman" w:hAnsi="Times New Roman"/>
          <w:sz w:val="24"/>
          <w:szCs w:val="24"/>
        </w:rPr>
      </w:pPr>
    </w:p>
    <w:p w:rsidR="005C1548" w:rsidRPr="005C1548" w:rsidRDefault="00F56386" w:rsidP="00DD7842">
      <w:pPr>
        <w:numPr>
          <w:ilvl w:val="0"/>
          <w:numId w:val="18"/>
        </w:numPr>
        <w:spacing w:line="240" w:lineRule="auto"/>
        <w:jc w:val="both"/>
        <w:rPr>
          <w:rFonts w:ascii="Times New Roman" w:hAnsi="Times New Roman"/>
          <w:color w:val="FF0000"/>
          <w:sz w:val="24"/>
          <w:szCs w:val="24"/>
        </w:rPr>
      </w:pPr>
      <w:r>
        <w:rPr>
          <w:rFonts w:ascii="Times New Roman" w:hAnsi="Times New Roman"/>
          <w:sz w:val="24"/>
          <w:szCs w:val="24"/>
        </w:rPr>
        <w:t>Long outstanding</w:t>
      </w:r>
      <w:r w:rsidR="005C1548" w:rsidRPr="005C1548">
        <w:rPr>
          <w:rFonts w:ascii="Times New Roman" w:hAnsi="Times New Roman"/>
          <w:sz w:val="24"/>
          <w:szCs w:val="24"/>
        </w:rPr>
        <w:t xml:space="preserve"> non-collecti</w:t>
      </w:r>
      <w:r>
        <w:rPr>
          <w:rFonts w:ascii="Times New Roman" w:hAnsi="Times New Roman"/>
          <w:sz w:val="24"/>
          <w:szCs w:val="24"/>
        </w:rPr>
        <w:t>ble debts pertaining to period prior to 2011</w:t>
      </w:r>
      <w:r w:rsidR="005C1548" w:rsidRPr="005C1548">
        <w:rPr>
          <w:rFonts w:ascii="Times New Roman" w:hAnsi="Times New Roman"/>
          <w:sz w:val="24"/>
          <w:szCs w:val="24"/>
        </w:rPr>
        <w:t xml:space="preserve"> were </w:t>
      </w:r>
      <w:r w:rsidR="00C525E7">
        <w:rPr>
          <w:rFonts w:ascii="Times New Roman" w:hAnsi="Times New Roman"/>
          <w:sz w:val="24"/>
          <w:szCs w:val="24"/>
        </w:rPr>
        <w:br/>
      </w:r>
      <w:r w:rsidR="005C1548" w:rsidRPr="005C1548">
        <w:rPr>
          <w:rFonts w:ascii="Times New Roman" w:hAnsi="Times New Roman"/>
          <w:sz w:val="24"/>
          <w:szCs w:val="24"/>
        </w:rPr>
        <w:t>Rs 273 million which represented 44 per cent of total arrears of revenue. Recovery of those prior year</w:t>
      </w:r>
      <w:r>
        <w:rPr>
          <w:rFonts w:ascii="Times New Roman" w:hAnsi="Times New Roman"/>
          <w:sz w:val="24"/>
          <w:szCs w:val="24"/>
        </w:rPr>
        <w:t>s</w:t>
      </w:r>
      <w:r w:rsidR="005C1548" w:rsidRPr="005C1548">
        <w:rPr>
          <w:rFonts w:ascii="Times New Roman" w:hAnsi="Times New Roman"/>
          <w:sz w:val="24"/>
          <w:szCs w:val="24"/>
        </w:rPr>
        <w:t xml:space="preserve"> debts appeared to be remote due to the following:</w:t>
      </w:r>
    </w:p>
    <w:p w:rsidR="00DD7842" w:rsidRPr="00DD7842" w:rsidRDefault="00F56386" w:rsidP="00DD7842">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During</w:t>
      </w:r>
      <w:r w:rsidR="005C1548" w:rsidRPr="00DD7842">
        <w:rPr>
          <w:rFonts w:ascii="Times New Roman" w:hAnsi="Times New Roman"/>
          <w:sz w:val="24"/>
          <w:szCs w:val="24"/>
        </w:rPr>
        <w:t xml:space="preserve"> 2014, only a sum of Rs 2.6 million was collected representing less than one per cent of </w:t>
      </w:r>
      <w:r>
        <w:rPr>
          <w:rFonts w:ascii="Times New Roman" w:hAnsi="Times New Roman"/>
          <w:sz w:val="24"/>
          <w:szCs w:val="24"/>
        </w:rPr>
        <w:t>total debts relating to the period prior to 2011. For the years 2012 and 2013,</w:t>
      </w:r>
      <w:r w:rsidR="005C1548" w:rsidRPr="00DD7842">
        <w:rPr>
          <w:rFonts w:ascii="Times New Roman" w:hAnsi="Times New Roman"/>
          <w:sz w:val="24"/>
          <w:szCs w:val="24"/>
        </w:rPr>
        <w:t xml:space="preserve"> sum</w:t>
      </w:r>
      <w:r>
        <w:rPr>
          <w:rFonts w:ascii="Times New Roman" w:hAnsi="Times New Roman"/>
          <w:sz w:val="24"/>
          <w:szCs w:val="24"/>
        </w:rPr>
        <w:t xml:space="preserve">s of Rs 857,224 and Rs 441,948 </w:t>
      </w:r>
      <w:r w:rsidRPr="00DD7842">
        <w:rPr>
          <w:rFonts w:ascii="Times New Roman" w:hAnsi="Times New Roman"/>
          <w:sz w:val="24"/>
          <w:szCs w:val="24"/>
        </w:rPr>
        <w:t>respectively</w:t>
      </w:r>
      <w:r>
        <w:rPr>
          <w:rFonts w:ascii="Times New Roman" w:hAnsi="Times New Roman"/>
          <w:sz w:val="24"/>
          <w:szCs w:val="24"/>
        </w:rPr>
        <w:t xml:space="preserve"> were</w:t>
      </w:r>
      <w:r w:rsidR="005C1548" w:rsidRPr="00DD7842">
        <w:rPr>
          <w:rFonts w:ascii="Times New Roman" w:hAnsi="Times New Roman"/>
          <w:sz w:val="24"/>
          <w:szCs w:val="24"/>
        </w:rPr>
        <w:t xml:space="preserve"> collected. </w:t>
      </w:r>
    </w:p>
    <w:p w:rsidR="00DD7842" w:rsidRPr="00DD7842" w:rsidRDefault="00DD7842" w:rsidP="00DD7842">
      <w:pPr>
        <w:spacing w:after="0" w:line="240" w:lineRule="auto"/>
        <w:ind w:left="720"/>
        <w:jc w:val="both"/>
        <w:rPr>
          <w:rFonts w:ascii="Times New Roman" w:hAnsi="Times New Roman"/>
          <w:sz w:val="24"/>
          <w:szCs w:val="24"/>
        </w:rPr>
      </w:pPr>
    </w:p>
    <w:p w:rsidR="005C1548" w:rsidRPr="00231CFD" w:rsidRDefault="005C1548" w:rsidP="00DD7842">
      <w:pPr>
        <w:numPr>
          <w:ilvl w:val="0"/>
          <w:numId w:val="19"/>
        </w:numPr>
        <w:spacing w:after="0" w:line="240" w:lineRule="auto"/>
        <w:jc w:val="both"/>
        <w:rPr>
          <w:rFonts w:ascii="Times New Roman" w:hAnsi="Times New Roman"/>
          <w:sz w:val="24"/>
          <w:szCs w:val="24"/>
        </w:rPr>
      </w:pPr>
      <w:r w:rsidRPr="00DD7842">
        <w:rPr>
          <w:rFonts w:ascii="Times New Roman" w:hAnsi="Times New Roman"/>
          <w:sz w:val="24"/>
          <w:szCs w:val="24"/>
        </w:rPr>
        <w:t xml:space="preserve">Total repayment in respect of previous years’ debts was only Rs 24.3 </w:t>
      </w:r>
      <w:proofErr w:type="gramStart"/>
      <w:r w:rsidRPr="00DD7842">
        <w:rPr>
          <w:rFonts w:ascii="Times New Roman" w:hAnsi="Times New Roman"/>
          <w:sz w:val="24"/>
          <w:szCs w:val="24"/>
        </w:rPr>
        <w:t>million</w:t>
      </w:r>
      <w:r w:rsidR="00115777">
        <w:rPr>
          <w:rFonts w:ascii="Times New Roman" w:hAnsi="Times New Roman"/>
          <w:sz w:val="24"/>
          <w:szCs w:val="24"/>
        </w:rPr>
        <w:t>,</w:t>
      </w:r>
      <w:r w:rsidRPr="00DD7842">
        <w:rPr>
          <w:rFonts w:ascii="Times New Roman" w:hAnsi="Times New Roman"/>
          <w:sz w:val="24"/>
          <w:szCs w:val="24"/>
        </w:rPr>
        <w:t xml:space="preserve"> that</w:t>
      </w:r>
      <w:proofErr w:type="gramEnd"/>
      <w:r w:rsidRPr="00DD7842">
        <w:rPr>
          <w:rFonts w:ascii="Times New Roman" w:hAnsi="Times New Roman"/>
          <w:sz w:val="24"/>
          <w:szCs w:val="24"/>
        </w:rPr>
        <w:t xml:space="preserve"> is less than 4 per</w:t>
      </w:r>
      <w:r w:rsidR="00115777">
        <w:rPr>
          <w:rFonts w:ascii="Times New Roman" w:hAnsi="Times New Roman"/>
          <w:sz w:val="24"/>
          <w:szCs w:val="24"/>
        </w:rPr>
        <w:t xml:space="preserve"> </w:t>
      </w:r>
      <w:r w:rsidRPr="00DD7842">
        <w:rPr>
          <w:rFonts w:ascii="Times New Roman" w:hAnsi="Times New Roman"/>
          <w:sz w:val="24"/>
          <w:szCs w:val="24"/>
        </w:rPr>
        <w:t>cent of total debts of Rs 621.2 million.</w:t>
      </w:r>
    </w:p>
    <w:p w:rsidR="005C1548" w:rsidRPr="00231CFD" w:rsidRDefault="005C1548" w:rsidP="005C1548">
      <w:pPr>
        <w:spacing w:after="0" w:line="240" w:lineRule="auto"/>
        <w:jc w:val="both"/>
        <w:rPr>
          <w:rFonts w:ascii="Times New Roman" w:hAnsi="Times New Roman"/>
          <w:sz w:val="24"/>
          <w:szCs w:val="24"/>
        </w:rPr>
      </w:pPr>
    </w:p>
    <w:p w:rsidR="005C1548" w:rsidRPr="005C1548" w:rsidRDefault="005C1548" w:rsidP="005C1548">
      <w:pPr>
        <w:numPr>
          <w:ilvl w:val="0"/>
          <w:numId w:val="7"/>
        </w:numPr>
        <w:spacing w:after="0" w:line="240" w:lineRule="auto"/>
        <w:jc w:val="both"/>
        <w:rPr>
          <w:rFonts w:ascii="Times New Roman" w:hAnsi="Times New Roman"/>
          <w:b/>
          <w:i/>
          <w:sz w:val="24"/>
          <w:szCs w:val="24"/>
        </w:rPr>
      </w:pPr>
      <w:r w:rsidRPr="005C1548">
        <w:rPr>
          <w:rFonts w:ascii="Times New Roman" w:hAnsi="Times New Roman"/>
          <w:sz w:val="24"/>
          <w:szCs w:val="24"/>
        </w:rPr>
        <w:t xml:space="preserve">Included in the non-collectible debts of Rs 273 million was an amount of </w:t>
      </w:r>
      <w:r w:rsidR="00DA4030">
        <w:rPr>
          <w:rFonts w:ascii="Times New Roman" w:hAnsi="Times New Roman"/>
          <w:sz w:val="24"/>
          <w:szCs w:val="24"/>
        </w:rPr>
        <w:br/>
      </w:r>
      <w:r w:rsidRPr="005C1548">
        <w:rPr>
          <w:rFonts w:ascii="Times New Roman" w:hAnsi="Times New Roman"/>
          <w:sz w:val="24"/>
          <w:szCs w:val="24"/>
        </w:rPr>
        <w:t xml:space="preserve">Rs </w:t>
      </w:r>
      <w:r w:rsidR="00423355">
        <w:rPr>
          <w:rFonts w:ascii="Times New Roman" w:hAnsi="Times New Roman"/>
          <w:sz w:val="24"/>
          <w:szCs w:val="24"/>
        </w:rPr>
        <w:t>174.6</w:t>
      </w:r>
      <w:r w:rsidRPr="005C1548">
        <w:rPr>
          <w:rFonts w:ascii="Times New Roman" w:hAnsi="Times New Roman"/>
          <w:sz w:val="24"/>
          <w:szCs w:val="24"/>
        </w:rPr>
        <w:t xml:space="preserve"> million in respect o</w:t>
      </w:r>
      <w:r w:rsidR="00115777">
        <w:rPr>
          <w:rFonts w:ascii="Times New Roman" w:hAnsi="Times New Roman"/>
          <w:sz w:val="24"/>
          <w:szCs w:val="24"/>
        </w:rPr>
        <w:t>f debts for period prior to 2010, for which C</w:t>
      </w:r>
      <w:r w:rsidRPr="005C1548">
        <w:rPr>
          <w:rFonts w:ascii="Times New Roman" w:hAnsi="Times New Roman"/>
          <w:sz w:val="24"/>
          <w:szCs w:val="24"/>
        </w:rPr>
        <w:t xml:space="preserve">ourt proceedings for recovery of duties and taxes had not been instituted as at 31 December 2014. </w:t>
      </w:r>
    </w:p>
    <w:p w:rsidR="005C1548" w:rsidRPr="005C1548" w:rsidRDefault="005C1548" w:rsidP="005C1548">
      <w:pPr>
        <w:spacing w:after="0" w:line="240" w:lineRule="auto"/>
        <w:jc w:val="both"/>
        <w:rPr>
          <w:rFonts w:ascii="Times New Roman" w:hAnsi="Times New Roman"/>
          <w:b/>
          <w:i/>
          <w:sz w:val="24"/>
          <w:szCs w:val="24"/>
        </w:rPr>
      </w:pPr>
    </w:p>
    <w:p w:rsidR="005C1548" w:rsidRPr="005C1548" w:rsidRDefault="002E666A" w:rsidP="005C1548">
      <w:pPr>
        <w:spacing w:after="0" w:line="240" w:lineRule="auto"/>
        <w:jc w:val="both"/>
        <w:rPr>
          <w:rFonts w:ascii="Times New Roman" w:hAnsi="Times New Roman"/>
          <w:b/>
          <w:i/>
          <w:sz w:val="24"/>
          <w:szCs w:val="24"/>
        </w:rPr>
      </w:pPr>
      <w:r>
        <w:rPr>
          <w:rFonts w:ascii="Times New Roman" w:hAnsi="Times New Roman"/>
          <w:b/>
          <w:i/>
          <w:sz w:val="24"/>
          <w:szCs w:val="24"/>
        </w:rPr>
        <w:t>Management’s</w:t>
      </w:r>
      <w:r w:rsidR="005C1548" w:rsidRPr="005C1548">
        <w:rPr>
          <w:rFonts w:ascii="Times New Roman" w:hAnsi="Times New Roman"/>
          <w:b/>
          <w:i/>
          <w:sz w:val="24"/>
          <w:szCs w:val="24"/>
        </w:rPr>
        <w:t xml:space="preserve"> Reply</w:t>
      </w:r>
    </w:p>
    <w:p w:rsidR="005C1548" w:rsidRPr="005C1548" w:rsidRDefault="005C1548" w:rsidP="005C1548">
      <w:pPr>
        <w:spacing w:after="0" w:line="240" w:lineRule="auto"/>
        <w:jc w:val="both"/>
        <w:rPr>
          <w:rFonts w:ascii="Times New Roman" w:hAnsi="Times New Roman"/>
          <w:sz w:val="24"/>
          <w:szCs w:val="24"/>
        </w:rPr>
      </w:pPr>
    </w:p>
    <w:p w:rsidR="00423355" w:rsidRDefault="00423355" w:rsidP="00423355">
      <w:pPr>
        <w:spacing w:after="0" w:line="240" w:lineRule="auto"/>
        <w:jc w:val="both"/>
        <w:rPr>
          <w:rFonts w:ascii="Times New Roman" w:hAnsi="Times New Roman"/>
          <w:sz w:val="24"/>
          <w:szCs w:val="24"/>
        </w:rPr>
      </w:pPr>
      <w:r w:rsidRPr="00CB4D20">
        <w:rPr>
          <w:rFonts w:ascii="Times New Roman" w:hAnsi="Times New Roman"/>
          <w:sz w:val="24"/>
          <w:szCs w:val="24"/>
        </w:rPr>
        <w:t>Debts can only be collected after a Court decision</w:t>
      </w:r>
      <w:r>
        <w:rPr>
          <w:rFonts w:ascii="Times New Roman" w:hAnsi="Times New Roman"/>
          <w:sz w:val="24"/>
          <w:szCs w:val="24"/>
        </w:rPr>
        <w:t xml:space="preserve"> has been delivered.</w:t>
      </w:r>
      <w:r w:rsidR="000B054E">
        <w:rPr>
          <w:rFonts w:ascii="Times New Roman" w:hAnsi="Times New Roman"/>
          <w:sz w:val="24"/>
          <w:szCs w:val="24"/>
        </w:rPr>
        <w:t xml:space="preserve"> </w:t>
      </w:r>
      <w:r>
        <w:rPr>
          <w:rFonts w:ascii="Times New Roman" w:hAnsi="Times New Roman"/>
          <w:sz w:val="24"/>
          <w:szCs w:val="24"/>
        </w:rPr>
        <w:t>Thus, the slow recovery is quite normal and also beyond the control of MRA.</w:t>
      </w:r>
      <w:r w:rsidR="00BF5560">
        <w:rPr>
          <w:rFonts w:ascii="Times New Roman" w:hAnsi="Times New Roman"/>
          <w:sz w:val="24"/>
          <w:szCs w:val="24"/>
        </w:rPr>
        <w:t xml:space="preserve"> </w:t>
      </w:r>
      <w:r>
        <w:rPr>
          <w:rFonts w:ascii="Times New Roman" w:hAnsi="Times New Roman"/>
          <w:sz w:val="24"/>
          <w:szCs w:val="24"/>
        </w:rPr>
        <w:t xml:space="preserve">Conscious of the time taken for debt to </w:t>
      </w:r>
      <w:proofErr w:type="spellStart"/>
      <w:r>
        <w:rPr>
          <w:rFonts w:ascii="Times New Roman" w:hAnsi="Times New Roman"/>
          <w:sz w:val="24"/>
          <w:szCs w:val="24"/>
        </w:rPr>
        <w:t>materialise</w:t>
      </w:r>
      <w:proofErr w:type="spellEnd"/>
      <w:r>
        <w:rPr>
          <w:rFonts w:ascii="Times New Roman" w:hAnsi="Times New Roman"/>
          <w:sz w:val="24"/>
          <w:szCs w:val="24"/>
        </w:rPr>
        <w:t xml:space="preserve"> once at </w:t>
      </w:r>
      <w:r w:rsidR="00115777">
        <w:rPr>
          <w:rFonts w:ascii="Times New Roman" w:hAnsi="Times New Roman"/>
          <w:sz w:val="24"/>
          <w:szCs w:val="24"/>
        </w:rPr>
        <w:t>Assessment Review Committee (</w:t>
      </w:r>
      <w:r>
        <w:rPr>
          <w:rFonts w:ascii="Times New Roman" w:hAnsi="Times New Roman"/>
          <w:sz w:val="24"/>
          <w:szCs w:val="24"/>
        </w:rPr>
        <w:t>ARC</w:t>
      </w:r>
      <w:r w:rsidR="00115777">
        <w:rPr>
          <w:rFonts w:ascii="Times New Roman" w:hAnsi="Times New Roman"/>
          <w:sz w:val="24"/>
          <w:szCs w:val="24"/>
        </w:rPr>
        <w:t>)</w:t>
      </w:r>
      <w:r>
        <w:rPr>
          <w:rFonts w:ascii="Times New Roman" w:hAnsi="Times New Roman"/>
          <w:sz w:val="24"/>
          <w:szCs w:val="24"/>
        </w:rPr>
        <w:t xml:space="preserve"> and Court, the MRA has requested and obtained additional powers such as inscriptions, attachment orders etc in 2015 through the Finance Act.</w:t>
      </w:r>
    </w:p>
    <w:p w:rsidR="005C1548" w:rsidRDefault="00127C2B" w:rsidP="005C1548">
      <w:pPr>
        <w:spacing w:after="0" w:line="240" w:lineRule="auto"/>
        <w:jc w:val="both"/>
        <w:rPr>
          <w:rFonts w:ascii="Times New Roman" w:hAnsi="Times New Roman"/>
          <w:b/>
          <w:i/>
          <w:sz w:val="24"/>
          <w:szCs w:val="24"/>
        </w:rPr>
      </w:pPr>
      <w:r>
        <w:rPr>
          <w:rFonts w:ascii="Times New Roman" w:hAnsi="Times New Roman"/>
          <w:b/>
          <w:i/>
          <w:sz w:val="24"/>
          <w:szCs w:val="24"/>
        </w:rPr>
        <w:lastRenderedPageBreak/>
        <w:t>6.</w:t>
      </w:r>
      <w:r w:rsidR="0025496D">
        <w:rPr>
          <w:rFonts w:ascii="Times New Roman" w:hAnsi="Times New Roman"/>
          <w:b/>
          <w:i/>
          <w:sz w:val="24"/>
          <w:szCs w:val="24"/>
        </w:rPr>
        <w:t>3</w:t>
      </w:r>
      <w:r w:rsidR="00993958">
        <w:rPr>
          <w:rFonts w:ascii="Times New Roman" w:hAnsi="Times New Roman"/>
          <w:b/>
          <w:i/>
          <w:sz w:val="24"/>
          <w:szCs w:val="24"/>
        </w:rPr>
        <w:t>.4</w:t>
      </w:r>
      <w:r w:rsidR="00DD7842">
        <w:rPr>
          <w:rFonts w:ascii="Times New Roman" w:hAnsi="Times New Roman"/>
          <w:b/>
          <w:i/>
          <w:sz w:val="24"/>
          <w:szCs w:val="24"/>
        </w:rPr>
        <w:t xml:space="preserve">  </w:t>
      </w:r>
      <w:r w:rsidR="00115777">
        <w:rPr>
          <w:rFonts w:ascii="Times New Roman" w:hAnsi="Times New Roman"/>
          <w:b/>
          <w:i/>
          <w:sz w:val="24"/>
          <w:szCs w:val="24"/>
        </w:rPr>
        <w:t>Debt M</w:t>
      </w:r>
      <w:r w:rsidR="005C1548" w:rsidRPr="005C1548">
        <w:rPr>
          <w:rFonts w:ascii="Times New Roman" w:hAnsi="Times New Roman"/>
          <w:b/>
          <w:i/>
          <w:sz w:val="24"/>
          <w:szCs w:val="24"/>
        </w:rPr>
        <w:t>anagement</w:t>
      </w:r>
    </w:p>
    <w:p w:rsidR="00DD7842" w:rsidRPr="005C1548" w:rsidRDefault="00DD7842" w:rsidP="005C1548">
      <w:pPr>
        <w:spacing w:after="0" w:line="240" w:lineRule="auto"/>
        <w:jc w:val="both"/>
        <w:rPr>
          <w:rFonts w:ascii="Times New Roman" w:hAnsi="Times New Roman"/>
          <w:sz w:val="24"/>
          <w:szCs w:val="24"/>
        </w:rPr>
      </w:pPr>
    </w:p>
    <w:p w:rsidR="005C1548" w:rsidRPr="005C1548" w:rsidRDefault="005C1548" w:rsidP="005C1548">
      <w:pPr>
        <w:spacing w:after="0" w:line="240" w:lineRule="auto"/>
        <w:jc w:val="both"/>
        <w:rPr>
          <w:rFonts w:ascii="Times New Roman" w:hAnsi="Times New Roman"/>
          <w:sz w:val="24"/>
          <w:szCs w:val="24"/>
        </w:rPr>
      </w:pPr>
      <w:r w:rsidRPr="005C1548">
        <w:rPr>
          <w:rFonts w:ascii="Times New Roman" w:hAnsi="Times New Roman"/>
          <w:sz w:val="24"/>
          <w:szCs w:val="24"/>
        </w:rPr>
        <w:t>Claims and CORs initiated by different units were registered in CMS and forwarded to Debt Management Unit for follow up. Out of a total of 715 debtors repor</w:t>
      </w:r>
      <w:r w:rsidR="00115777">
        <w:rPr>
          <w:rFonts w:ascii="Times New Roman" w:hAnsi="Times New Roman"/>
          <w:sz w:val="24"/>
          <w:szCs w:val="24"/>
        </w:rPr>
        <w:t>ted as at 31 December 2014,</w:t>
      </w:r>
      <w:r w:rsidRPr="005C1548">
        <w:rPr>
          <w:rFonts w:ascii="Times New Roman" w:hAnsi="Times New Roman"/>
          <w:sz w:val="24"/>
          <w:szCs w:val="24"/>
        </w:rPr>
        <w:t xml:space="preserve"> 591 cases amounting to Rs 413.8 million were still under process at the Legal Services Department (LSD) or the Debt Management Unit at Customs and the Attorney General’s Office (AGO).</w:t>
      </w:r>
      <w:r w:rsidR="000B054E">
        <w:rPr>
          <w:rFonts w:ascii="Times New Roman" w:hAnsi="Times New Roman"/>
          <w:sz w:val="24"/>
          <w:szCs w:val="24"/>
        </w:rPr>
        <w:t xml:space="preserve"> </w:t>
      </w:r>
    </w:p>
    <w:p w:rsidR="005C1548" w:rsidRPr="005C1548" w:rsidRDefault="005C1548" w:rsidP="005C1548">
      <w:pPr>
        <w:spacing w:after="0" w:line="240" w:lineRule="auto"/>
        <w:jc w:val="both"/>
        <w:rPr>
          <w:rFonts w:ascii="Times New Roman" w:hAnsi="Times New Roman"/>
          <w:b/>
          <w:i/>
          <w:sz w:val="24"/>
          <w:szCs w:val="24"/>
        </w:rPr>
      </w:pPr>
    </w:p>
    <w:p w:rsidR="005C1548" w:rsidRPr="005C1548" w:rsidRDefault="005C1548" w:rsidP="005C1548">
      <w:pPr>
        <w:spacing w:after="0" w:line="240" w:lineRule="auto"/>
        <w:jc w:val="both"/>
        <w:rPr>
          <w:rFonts w:ascii="Times New Roman" w:hAnsi="Times New Roman"/>
          <w:b/>
          <w:i/>
          <w:sz w:val="24"/>
          <w:szCs w:val="24"/>
        </w:rPr>
      </w:pPr>
    </w:p>
    <w:p w:rsidR="005C1548" w:rsidRPr="005C1548" w:rsidRDefault="005C1548" w:rsidP="005C1548">
      <w:pPr>
        <w:spacing w:after="0" w:line="240" w:lineRule="auto"/>
        <w:jc w:val="both"/>
        <w:rPr>
          <w:rFonts w:ascii="Times New Roman" w:hAnsi="Times New Roman"/>
          <w:b/>
          <w:i/>
          <w:sz w:val="24"/>
          <w:szCs w:val="24"/>
        </w:rPr>
      </w:pPr>
      <w:r w:rsidRPr="005C1548">
        <w:rPr>
          <w:rFonts w:ascii="Times New Roman" w:hAnsi="Times New Roman"/>
          <w:b/>
          <w:i/>
          <w:sz w:val="24"/>
          <w:szCs w:val="24"/>
        </w:rPr>
        <w:t>Observations</w:t>
      </w:r>
    </w:p>
    <w:p w:rsidR="005C1548" w:rsidRPr="005C1548" w:rsidRDefault="005C1548" w:rsidP="005C1548">
      <w:pPr>
        <w:spacing w:after="0" w:line="240" w:lineRule="auto"/>
        <w:jc w:val="both"/>
        <w:rPr>
          <w:rFonts w:ascii="Times New Roman" w:hAnsi="Times New Roman"/>
          <w:sz w:val="24"/>
          <w:szCs w:val="24"/>
        </w:rPr>
      </w:pPr>
    </w:p>
    <w:p w:rsidR="005C1548" w:rsidRPr="005C1548" w:rsidRDefault="005C1548" w:rsidP="00DD7842">
      <w:pPr>
        <w:numPr>
          <w:ilvl w:val="0"/>
          <w:numId w:val="20"/>
        </w:numPr>
        <w:spacing w:after="0" w:line="240" w:lineRule="auto"/>
        <w:ind w:left="360"/>
        <w:contextualSpacing/>
        <w:jc w:val="both"/>
        <w:rPr>
          <w:rFonts w:ascii="Times New Roman" w:hAnsi="Times New Roman"/>
          <w:color w:val="000000"/>
          <w:sz w:val="24"/>
          <w:szCs w:val="24"/>
        </w:rPr>
      </w:pPr>
      <w:r w:rsidRPr="005C1548">
        <w:rPr>
          <w:rFonts w:ascii="Times New Roman" w:hAnsi="Times New Roman"/>
          <w:color w:val="000000"/>
          <w:sz w:val="24"/>
          <w:szCs w:val="24"/>
        </w:rPr>
        <w:t>There were delays in the pro</w:t>
      </w:r>
      <w:r w:rsidR="00115777">
        <w:rPr>
          <w:rFonts w:ascii="Times New Roman" w:hAnsi="Times New Roman"/>
          <w:color w:val="000000"/>
          <w:sz w:val="24"/>
          <w:szCs w:val="24"/>
        </w:rPr>
        <w:t>cessing of debts to be sent to C</w:t>
      </w:r>
      <w:r w:rsidRPr="005C1548">
        <w:rPr>
          <w:rFonts w:ascii="Times New Roman" w:hAnsi="Times New Roman"/>
          <w:color w:val="000000"/>
          <w:sz w:val="24"/>
          <w:szCs w:val="24"/>
        </w:rPr>
        <w:t xml:space="preserve">ourt. Thus, over 80 per cent of debtors </w:t>
      </w:r>
      <w:r w:rsidR="00115777">
        <w:rPr>
          <w:rFonts w:ascii="Times New Roman" w:hAnsi="Times New Roman"/>
          <w:color w:val="000000"/>
          <w:sz w:val="24"/>
          <w:szCs w:val="24"/>
        </w:rPr>
        <w:t>were not compounded or sent to C</w:t>
      </w:r>
      <w:r w:rsidRPr="005C1548">
        <w:rPr>
          <w:rFonts w:ascii="Times New Roman" w:hAnsi="Times New Roman"/>
          <w:color w:val="000000"/>
          <w:sz w:val="24"/>
          <w:szCs w:val="24"/>
        </w:rPr>
        <w:t xml:space="preserve">ourt. </w:t>
      </w:r>
    </w:p>
    <w:p w:rsidR="005C1548" w:rsidRPr="005C1548" w:rsidRDefault="005C1548" w:rsidP="00DD7842">
      <w:pPr>
        <w:spacing w:after="0" w:line="240" w:lineRule="auto"/>
        <w:ind w:left="360"/>
        <w:contextualSpacing/>
        <w:jc w:val="both"/>
        <w:rPr>
          <w:rFonts w:ascii="Times New Roman" w:hAnsi="Times New Roman"/>
          <w:color w:val="000000"/>
          <w:sz w:val="24"/>
          <w:szCs w:val="24"/>
        </w:rPr>
      </w:pPr>
    </w:p>
    <w:p w:rsidR="005C1548" w:rsidRPr="005C1548" w:rsidRDefault="005C1548" w:rsidP="00DD7842">
      <w:pPr>
        <w:numPr>
          <w:ilvl w:val="0"/>
          <w:numId w:val="20"/>
        </w:numPr>
        <w:spacing w:after="0" w:line="240" w:lineRule="auto"/>
        <w:ind w:left="360"/>
        <w:contextualSpacing/>
        <w:jc w:val="both"/>
        <w:rPr>
          <w:rFonts w:ascii="Times New Roman" w:hAnsi="Times New Roman"/>
          <w:sz w:val="24"/>
          <w:szCs w:val="24"/>
        </w:rPr>
      </w:pPr>
      <w:r w:rsidRPr="005C1548">
        <w:rPr>
          <w:rFonts w:ascii="Times New Roman" w:hAnsi="Times New Roman"/>
          <w:color w:val="000000"/>
          <w:sz w:val="24"/>
          <w:szCs w:val="24"/>
        </w:rPr>
        <w:t xml:space="preserve">Delay in processing of claims may lead to cases being time barred and debts irrecoverable after five years, in line </w:t>
      </w:r>
      <w:r w:rsidR="00115777">
        <w:rPr>
          <w:rFonts w:ascii="Times New Roman" w:hAnsi="Times New Roman"/>
          <w:color w:val="000000"/>
          <w:sz w:val="24"/>
          <w:szCs w:val="24"/>
        </w:rPr>
        <w:t>with S</w:t>
      </w:r>
      <w:r w:rsidRPr="005C1548">
        <w:rPr>
          <w:rFonts w:ascii="Times New Roman" w:hAnsi="Times New Roman"/>
          <w:color w:val="000000"/>
          <w:sz w:val="24"/>
          <w:szCs w:val="24"/>
        </w:rPr>
        <w:t>ection 148(1).</w:t>
      </w:r>
      <w:r w:rsidRPr="005C1548">
        <w:rPr>
          <w:rFonts w:ascii="Times New Roman" w:hAnsi="Times New Roman"/>
          <w:sz w:val="24"/>
          <w:szCs w:val="24"/>
        </w:rPr>
        <w:t xml:space="preserve"> </w:t>
      </w:r>
      <w:r w:rsidR="00115777">
        <w:rPr>
          <w:rFonts w:ascii="Times New Roman" w:hAnsi="Times New Roman"/>
          <w:color w:val="000000"/>
          <w:sz w:val="24"/>
          <w:szCs w:val="24"/>
        </w:rPr>
        <w:t>Further,</w:t>
      </w:r>
      <w:r w:rsidRPr="005C1548">
        <w:rPr>
          <w:rFonts w:ascii="Times New Roman" w:hAnsi="Times New Roman"/>
          <w:color w:val="000000"/>
          <w:sz w:val="24"/>
          <w:szCs w:val="24"/>
        </w:rPr>
        <w:t xml:space="preserve"> Section 15 (1B) (a</w:t>
      </w:r>
      <w:r w:rsidR="00115777">
        <w:rPr>
          <w:rFonts w:ascii="Times New Roman" w:hAnsi="Times New Roman"/>
          <w:color w:val="000000"/>
          <w:sz w:val="24"/>
          <w:szCs w:val="24"/>
        </w:rPr>
        <w:t>), which was amended in</w:t>
      </w:r>
      <w:r w:rsidRPr="005C1548">
        <w:rPr>
          <w:rFonts w:ascii="Times New Roman" w:hAnsi="Times New Roman"/>
          <w:color w:val="000000"/>
          <w:sz w:val="24"/>
          <w:szCs w:val="24"/>
        </w:rPr>
        <w:t xml:space="preserve"> 2013, stipulates that any claims arising</w:t>
      </w:r>
      <w:r w:rsidR="000B054E">
        <w:rPr>
          <w:rFonts w:ascii="Times New Roman" w:hAnsi="Times New Roman"/>
          <w:color w:val="000000"/>
          <w:sz w:val="24"/>
          <w:szCs w:val="24"/>
        </w:rPr>
        <w:t xml:space="preserve"> </w:t>
      </w:r>
      <w:r w:rsidRPr="005C1548">
        <w:rPr>
          <w:rFonts w:ascii="Times New Roman" w:hAnsi="Times New Roman"/>
          <w:color w:val="000000"/>
          <w:sz w:val="24"/>
          <w:szCs w:val="24"/>
        </w:rPr>
        <w:t>with respect to a validated bill of entry, in respect of goods already cleared by Customs, should be made by the Director General within three years from the date of the validated bill of entry. As per this provision, claims in respect of all bills issued in 2013 will thu</w:t>
      </w:r>
      <w:r w:rsidR="00115777">
        <w:rPr>
          <w:rFonts w:ascii="Times New Roman" w:hAnsi="Times New Roman"/>
          <w:color w:val="000000"/>
          <w:sz w:val="24"/>
          <w:szCs w:val="24"/>
        </w:rPr>
        <w:t>s become time barred in</w:t>
      </w:r>
      <w:r w:rsidRPr="005C1548">
        <w:rPr>
          <w:rFonts w:ascii="Times New Roman" w:hAnsi="Times New Roman"/>
          <w:color w:val="000000"/>
          <w:sz w:val="24"/>
          <w:szCs w:val="24"/>
        </w:rPr>
        <w:t xml:space="preserve"> 2016.</w:t>
      </w:r>
    </w:p>
    <w:p w:rsidR="005C1548" w:rsidRPr="005C1548" w:rsidRDefault="005C1548" w:rsidP="00DD7842">
      <w:pPr>
        <w:spacing w:after="0" w:line="240" w:lineRule="auto"/>
        <w:contextualSpacing/>
        <w:jc w:val="both"/>
        <w:rPr>
          <w:rFonts w:ascii="Times New Roman" w:hAnsi="Times New Roman"/>
          <w:sz w:val="24"/>
          <w:szCs w:val="24"/>
        </w:rPr>
      </w:pPr>
    </w:p>
    <w:p w:rsidR="005C1548" w:rsidRPr="005C1548" w:rsidRDefault="005C1548" w:rsidP="00DD7842">
      <w:pPr>
        <w:numPr>
          <w:ilvl w:val="0"/>
          <w:numId w:val="20"/>
        </w:numPr>
        <w:spacing w:after="0" w:line="240" w:lineRule="auto"/>
        <w:ind w:left="360"/>
        <w:contextualSpacing/>
        <w:jc w:val="both"/>
        <w:rPr>
          <w:rFonts w:ascii="Times New Roman" w:hAnsi="Times New Roman"/>
          <w:color w:val="000000"/>
          <w:sz w:val="24"/>
          <w:szCs w:val="24"/>
        </w:rPr>
      </w:pPr>
      <w:r w:rsidRPr="005C1548">
        <w:rPr>
          <w:rFonts w:ascii="Times New Roman" w:hAnsi="Times New Roman"/>
          <w:color w:val="000000"/>
          <w:sz w:val="24"/>
          <w:szCs w:val="24"/>
        </w:rPr>
        <w:t xml:space="preserve">Several cases were referred to the AGO or </w:t>
      </w:r>
      <w:r w:rsidR="00115777">
        <w:rPr>
          <w:rFonts w:ascii="Times New Roman" w:hAnsi="Times New Roman"/>
          <w:color w:val="000000"/>
          <w:sz w:val="24"/>
          <w:szCs w:val="24"/>
        </w:rPr>
        <w:t>ARC</w:t>
      </w:r>
      <w:r w:rsidRPr="005C1548">
        <w:rPr>
          <w:rFonts w:ascii="Times New Roman" w:hAnsi="Times New Roman"/>
          <w:color w:val="000000"/>
          <w:sz w:val="24"/>
          <w:szCs w:val="24"/>
        </w:rPr>
        <w:t xml:space="preserve"> since more than ten years back. However, no reminder was issued to these Offices regarding status of the debts during 2014. No correspondence was also sent to the Police regarding status of the cases referred thereto or whether these cases have already been filed.</w:t>
      </w:r>
    </w:p>
    <w:p w:rsidR="00BF5560" w:rsidRDefault="00BF5560" w:rsidP="005C1548">
      <w:pPr>
        <w:spacing w:after="0" w:line="240" w:lineRule="auto"/>
        <w:jc w:val="both"/>
        <w:rPr>
          <w:rFonts w:ascii="Times New Roman" w:hAnsi="Times New Roman"/>
          <w:b/>
          <w:i/>
          <w:sz w:val="24"/>
          <w:szCs w:val="24"/>
        </w:rPr>
      </w:pPr>
    </w:p>
    <w:p w:rsidR="005C1548" w:rsidRPr="005C1548" w:rsidRDefault="002E666A" w:rsidP="005C1548">
      <w:pPr>
        <w:spacing w:after="0" w:line="240" w:lineRule="auto"/>
        <w:jc w:val="both"/>
        <w:rPr>
          <w:rFonts w:ascii="Times New Roman" w:hAnsi="Times New Roman"/>
          <w:b/>
          <w:i/>
          <w:sz w:val="24"/>
          <w:szCs w:val="24"/>
        </w:rPr>
      </w:pPr>
      <w:r>
        <w:rPr>
          <w:rFonts w:ascii="Times New Roman" w:hAnsi="Times New Roman"/>
          <w:b/>
          <w:i/>
          <w:sz w:val="24"/>
          <w:szCs w:val="24"/>
        </w:rPr>
        <w:t>Management’s</w:t>
      </w:r>
      <w:r w:rsidR="005C1548" w:rsidRPr="005C1548">
        <w:rPr>
          <w:rFonts w:ascii="Times New Roman" w:hAnsi="Times New Roman"/>
          <w:b/>
          <w:i/>
          <w:sz w:val="24"/>
          <w:szCs w:val="24"/>
        </w:rPr>
        <w:t xml:space="preserve"> Reply</w:t>
      </w:r>
    </w:p>
    <w:p w:rsidR="005C1548" w:rsidRPr="005C1548" w:rsidRDefault="005C1548" w:rsidP="005C1548">
      <w:pPr>
        <w:spacing w:after="0" w:line="240" w:lineRule="auto"/>
        <w:jc w:val="both"/>
        <w:rPr>
          <w:rFonts w:ascii="Times New Roman" w:hAnsi="Times New Roman"/>
          <w:sz w:val="24"/>
          <w:szCs w:val="24"/>
        </w:rPr>
      </w:pPr>
    </w:p>
    <w:p w:rsidR="005C1548" w:rsidRPr="005C1548" w:rsidRDefault="005C1548" w:rsidP="00DD7842">
      <w:pPr>
        <w:numPr>
          <w:ilvl w:val="0"/>
          <w:numId w:val="21"/>
        </w:numPr>
        <w:spacing w:after="0" w:line="240" w:lineRule="auto"/>
        <w:ind w:left="360"/>
        <w:contextualSpacing/>
        <w:jc w:val="both"/>
        <w:rPr>
          <w:rFonts w:ascii="Times New Roman" w:hAnsi="Times New Roman"/>
          <w:sz w:val="24"/>
          <w:szCs w:val="24"/>
        </w:rPr>
      </w:pPr>
      <w:r w:rsidRPr="005C1548">
        <w:rPr>
          <w:rFonts w:ascii="Times New Roman" w:hAnsi="Times New Roman"/>
          <w:sz w:val="24"/>
          <w:szCs w:val="24"/>
        </w:rPr>
        <w:t xml:space="preserve">No </w:t>
      </w:r>
      <w:r w:rsidR="00997313" w:rsidRPr="005C1548">
        <w:rPr>
          <w:rFonts w:ascii="Times New Roman" w:hAnsi="Times New Roman"/>
          <w:sz w:val="24"/>
          <w:szCs w:val="24"/>
        </w:rPr>
        <w:t xml:space="preserve">Attorney </w:t>
      </w:r>
      <w:r w:rsidRPr="005C1548">
        <w:rPr>
          <w:rFonts w:ascii="Times New Roman" w:hAnsi="Times New Roman"/>
          <w:sz w:val="24"/>
          <w:szCs w:val="24"/>
        </w:rPr>
        <w:t xml:space="preserve">was available at the MRA and these cases had to be referred to the AGO for recovery. Unfortunately, the cases were not lodged. Since March 2015, three claims have been forwarded to a private Attorney for plaints to be lodged. </w:t>
      </w:r>
    </w:p>
    <w:p w:rsidR="005C1548" w:rsidRPr="005C1548" w:rsidRDefault="005C1548" w:rsidP="00DD7842">
      <w:pPr>
        <w:spacing w:after="0" w:line="240" w:lineRule="auto"/>
        <w:ind w:left="360"/>
        <w:contextualSpacing/>
        <w:jc w:val="both"/>
        <w:rPr>
          <w:rFonts w:ascii="Times New Roman" w:hAnsi="Times New Roman"/>
          <w:sz w:val="24"/>
          <w:szCs w:val="24"/>
        </w:rPr>
      </w:pPr>
    </w:p>
    <w:p w:rsidR="005C1548" w:rsidRPr="005C1548" w:rsidRDefault="005C1548" w:rsidP="00DD7842">
      <w:pPr>
        <w:numPr>
          <w:ilvl w:val="0"/>
          <w:numId w:val="21"/>
        </w:numPr>
        <w:spacing w:after="0" w:line="240" w:lineRule="auto"/>
        <w:ind w:left="360"/>
        <w:contextualSpacing/>
        <w:jc w:val="both"/>
        <w:rPr>
          <w:rFonts w:ascii="Times New Roman" w:hAnsi="Times New Roman"/>
          <w:w w:val="101"/>
          <w:sz w:val="24"/>
          <w:szCs w:val="24"/>
        </w:rPr>
      </w:pPr>
      <w:r w:rsidRPr="005C1548">
        <w:rPr>
          <w:rFonts w:ascii="Times New Roman" w:hAnsi="Times New Roman"/>
          <w:w w:val="101"/>
          <w:sz w:val="24"/>
          <w:szCs w:val="24"/>
        </w:rPr>
        <w:t>MRA has put in place a monitoring system to ensure that cases are dealt with within the stipulated time limit.</w:t>
      </w:r>
    </w:p>
    <w:p w:rsidR="005C1548" w:rsidRPr="005C1548" w:rsidRDefault="005C1548" w:rsidP="00DD7842">
      <w:pPr>
        <w:spacing w:after="0" w:line="240" w:lineRule="auto"/>
        <w:contextualSpacing/>
        <w:jc w:val="both"/>
        <w:rPr>
          <w:rFonts w:ascii="Times New Roman" w:hAnsi="Times New Roman"/>
          <w:w w:val="101"/>
          <w:sz w:val="24"/>
          <w:szCs w:val="24"/>
        </w:rPr>
      </w:pPr>
    </w:p>
    <w:p w:rsidR="005C1548" w:rsidRPr="005C1548" w:rsidRDefault="005C1548" w:rsidP="00DD7842">
      <w:pPr>
        <w:numPr>
          <w:ilvl w:val="0"/>
          <w:numId w:val="21"/>
        </w:numPr>
        <w:spacing w:after="0" w:line="240" w:lineRule="auto"/>
        <w:ind w:left="360"/>
        <w:contextualSpacing/>
        <w:jc w:val="both"/>
        <w:rPr>
          <w:rFonts w:ascii="Times New Roman" w:hAnsi="Times New Roman"/>
          <w:color w:val="000000"/>
          <w:sz w:val="24"/>
          <w:szCs w:val="24"/>
        </w:rPr>
      </w:pPr>
      <w:r w:rsidRPr="005C1548">
        <w:rPr>
          <w:rFonts w:ascii="Times New Roman" w:hAnsi="Times New Roman"/>
          <w:sz w:val="24"/>
          <w:szCs w:val="24"/>
        </w:rPr>
        <w:t>A working arrangement is being put in place for the exchange of information between the different Legal Institutions and the MRA.</w:t>
      </w:r>
    </w:p>
    <w:p w:rsidR="005C1548" w:rsidRPr="005C1548" w:rsidRDefault="005C1548" w:rsidP="00DD7842">
      <w:pPr>
        <w:spacing w:after="0" w:line="240" w:lineRule="auto"/>
        <w:contextualSpacing/>
        <w:jc w:val="both"/>
        <w:rPr>
          <w:rFonts w:ascii="Times New Roman" w:hAnsi="Times New Roman"/>
          <w:color w:val="000000"/>
          <w:sz w:val="24"/>
          <w:szCs w:val="24"/>
        </w:rPr>
      </w:pPr>
    </w:p>
    <w:p w:rsidR="005C1548" w:rsidRPr="005C1548" w:rsidRDefault="005C1548" w:rsidP="00DD7842">
      <w:pPr>
        <w:numPr>
          <w:ilvl w:val="0"/>
          <w:numId w:val="21"/>
        </w:numPr>
        <w:spacing w:after="0" w:line="240" w:lineRule="auto"/>
        <w:ind w:left="360"/>
        <w:contextualSpacing/>
        <w:jc w:val="both"/>
        <w:rPr>
          <w:rFonts w:ascii="Times New Roman" w:hAnsi="Times New Roman"/>
          <w:color w:val="000000"/>
          <w:sz w:val="24"/>
          <w:szCs w:val="24"/>
        </w:rPr>
      </w:pPr>
      <w:r w:rsidRPr="005C1548">
        <w:rPr>
          <w:rFonts w:ascii="Times New Roman" w:hAnsi="Times New Roman"/>
          <w:sz w:val="24"/>
          <w:szCs w:val="24"/>
        </w:rPr>
        <w:t>Regular meetings are being held with the Debt Management Unit and the LSD for the proper administration of debts and claims.</w:t>
      </w:r>
    </w:p>
    <w:p w:rsidR="00B548AD" w:rsidRDefault="00B548AD">
      <w:r>
        <w:br w:type="page"/>
      </w:r>
    </w:p>
    <w:p w:rsidR="00B548AD" w:rsidRPr="00B548AD" w:rsidRDefault="00B548AD" w:rsidP="00B548AD">
      <w:pPr>
        <w:spacing w:after="0" w:line="240" w:lineRule="auto"/>
        <w:contextualSpacing/>
        <w:jc w:val="both"/>
        <w:rPr>
          <w:rFonts w:ascii="Times New Roman" w:hAnsi="Times New Roman"/>
          <w:b/>
          <w:sz w:val="32"/>
          <w:szCs w:val="32"/>
        </w:rPr>
      </w:pPr>
      <w:r w:rsidRPr="00B548AD">
        <w:rPr>
          <w:rFonts w:ascii="Times New Roman" w:eastAsiaTheme="minorHAnsi" w:hAnsi="Times New Roman" w:cstheme="minorBidi"/>
          <w:b/>
          <w:sz w:val="32"/>
          <w:szCs w:val="32"/>
        </w:rPr>
        <w:lastRenderedPageBreak/>
        <w:t>Registrar-General’s Department</w:t>
      </w:r>
      <w:r w:rsidRPr="00B548AD">
        <w:rPr>
          <w:rFonts w:ascii="Times New Roman" w:hAnsi="Times New Roman"/>
          <w:b/>
          <w:sz w:val="32"/>
          <w:szCs w:val="32"/>
        </w:rPr>
        <w:t xml:space="preserve"> </w:t>
      </w:r>
    </w:p>
    <w:p w:rsidR="00B548AD" w:rsidRPr="00B548AD" w:rsidRDefault="00B548AD" w:rsidP="00B548AD">
      <w:pPr>
        <w:spacing w:after="0" w:line="240" w:lineRule="auto"/>
        <w:ind w:left="567"/>
        <w:contextualSpacing/>
        <w:jc w:val="both"/>
        <w:rPr>
          <w:rFonts w:ascii="Times New Roman" w:hAnsi="Times New Roman"/>
          <w:b/>
          <w:sz w:val="24"/>
          <w:szCs w:val="24"/>
        </w:rPr>
      </w:pPr>
    </w:p>
    <w:p w:rsidR="00B548AD" w:rsidRPr="00B548AD" w:rsidRDefault="00B548AD" w:rsidP="00B548AD">
      <w:pPr>
        <w:spacing w:after="0" w:line="240" w:lineRule="auto"/>
        <w:ind w:left="567"/>
        <w:contextualSpacing/>
        <w:jc w:val="both"/>
        <w:rPr>
          <w:rFonts w:ascii="Times New Roman" w:hAnsi="Times New Roman"/>
          <w:b/>
          <w:sz w:val="24"/>
          <w:szCs w:val="24"/>
        </w:rPr>
      </w:pPr>
    </w:p>
    <w:p w:rsidR="00B548AD" w:rsidRPr="00B548AD" w:rsidRDefault="00127C2B" w:rsidP="00B548AD">
      <w:pPr>
        <w:spacing w:after="0" w:line="240" w:lineRule="auto"/>
        <w:contextualSpacing/>
        <w:jc w:val="both"/>
        <w:rPr>
          <w:rFonts w:ascii="Times New Roman" w:hAnsi="Times New Roman"/>
          <w:b/>
          <w:sz w:val="24"/>
          <w:szCs w:val="24"/>
        </w:rPr>
      </w:pPr>
      <w:proofErr w:type="gramStart"/>
      <w:r>
        <w:rPr>
          <w:rFonts w:ascii="Times New Roman" w:hAnsi="Times New Roman"/>
          <w:b/>
          <w:sz w:val="24"/>
          <w:szCs w:val="24"/>
        </w:rPr>
        <w:t>6.</w:t>
      </w:r>
      <w:r w:rsidR="00BF0E37">
        <w:rPr>
          <w:rFonts w:ascii="Times New Roman" w:hAnsi="Times New Roman"/>
          <w:b/>
          <w:sz w:val="24"/>
          <w:szCs w:val="24"/>
        </w:rPr>
        <w:t>4</w:t>
      </w:r>
      <w:r w:rsidR="00B548AD" w:rsidRPr="00B548AD">
        <w:rPr>
          <w:rFonts w:ascii="Times New Roman" w:hAnsi="Times New Roman"/>
          <w:b/>
          <w:sz w:val="24"/>
          <w:szCs w:val="24"/>
        </w:rPr>
        <w:t xml:space="preserve">  Revenue</w:t>
      </w:r>
      <w:proofErr w:type="gramEnd"/>
      <w:r w:rsidR="00B548AD" w:rsidRPr="00B548AD">
        <w:rPr>
          <w:rFonts w:ascii="Times New Roman" w:hAnsi="Times New Roman"/>
          <w:b/>
          <w:sz w:val="24"/>
          <w:szCs w:val="24"/>
        </w:rPr>
        <w:t xml:space="preserve"> Collection </w:t>
      </w:r>
    </w:p>
    <w:p w:rsidR="00B548AD" w:rsidRPr="00B548AD" w:rsidRDefault="00B548AD" w:rsidP="00B548AD">
      <w:pPr>
        <w:spacing w:after="0" w:line="240" w:lineRule="auto"/>
        <w:ind w:left="1080"/>
        <w:contextualSpacing/>
        <w:jc w:val="both"/>
        <w:rPr>
          <w:rFonts w:ascii="Times New Roman" w:hAnsi="Times New Roman"/>
          <w:b/>
          <w:sz w:val="24"/>
          <w:szCs w:val="24"/>
        </w:rPr>
      </w:pPr>
    </w:p>
    <w:p w:rsidR="00B548AD" w:rsidRPr="00B548AD" w:rsidRDefault="00B548AD" w:rsidP="00B548AD">
      <w:pPr>
        <w:spacing w:after="0" w:line="240" w:lineRule="auto"/>
        <w:jc w:val="both"/>
        <w:rPr>
          <w:rFonts w:ascii="Times New Roman" w:hAnsi="Times New Roman"/>
          <w:sz w:val="24"/>
          <w:szCs w:val="24"/>
        </w:rPr>
      </w:pPr>
      <w:r w:rsidRPr="00B548AD">
        <w:rPr>
          <w:rFonts w:ascii="Times New Roman" w:hAnsi="Times New Roman"/>
          <w:sz w:val="24"/>
          <w:szCs w:val="24"/>
        </w:rPr>
        <w:t>During 2014, some Rs 5.9 billion were collected as revenue by Registrar General’s Department (RGD). The core system of RGD was computerized since 19 May 2014. However, no computerized daily Cash Book Report and transactions listings could be generated from the system for the period 19 May to 31 December 2014.</w:t>
      </w:r>
    </w:p>
    <w:p w:rsidR="00B548AD" w:rsidRPr="00B548AD" w:rsidRDefault="00B548AD" w:rsidP="00B548AD">
      <w:pPr>
        <w:spacing w:after="0" w:line="240" w:lineRule="auto"/>
        <w:jc w:val="both"/>
        <w:rPr>
          <w:rFonts w:ascii="Times New Roman" w:hAnsi="Times New Roman"/>
          <w:sz w:val="24"/>
          <w:szCs w:val="24"/>
        </w:rPr>
      </w:pPr>
    </w:p>
    <w:p w:rsidR="00B548AD" w:rsidRPr="00B548AD" w:rsidRDefault="00B548AD" w:rsidP="00B548AD">
      <w:pPr>
        <w:spacing w:after="0" w:line="240" w:lineRule="auto"/>
        <w:jc w:val="both"/>
        <w:rPr>
          <w:rFonts w:ascii="Times New Roman" w:hAnsi="Times New Roman"/>
          <w:sz w:val="24"/>
          <w:szCs w:val="24"/>
        </w:rPr>
      </w:pPr>
      <w:r w:rsidRPr="00B548AD">
        <w:rPr>
          <w:rFonts w:ascii="Times New Roman" w:hAnsi="Times New Roman"/>
          <w:sz w:val="24"/>
          <w:szCs w:val="24"/>
        </w:rPr>
        <w:t xml:space="preserve">According to the Revenue Collection Report, provided by RGD’s IT Unit, total collections amounted to some Rs 2,894.4 million, whilst the net revenue reported in the Treasury Accounting System (TAS) was Rs 3,687.5 million for the same above period. No reconciliation </w:t>
      </w:r>
      <w:r w:rsidR="00C30FAD">
        <w:rPr>
          <w:rFonts w:ascii="Times New Roman" w:hAnsi="Times New Roman"/>
          <w:sz w:val="24"/>
          <w:szCs w:val="24"/>
        </w:rPr>
        <w:t xml:space="preserve">exercise was carried out to explain the difference of </w:t>
      </w:r>
      <w:r w:rsidRPr="00B548AD">
        <w:rPr>
          <w:rFonts w:ascii="Times New Roman" w:hAnsi="Times New Roman"/>
          <w:sz w:val="24"/>
          <w:szCs w:val="24"/>
        </w:rPr>
        <w:t>Rs 793.1 million.</w:t>
      </w:r>
    </w:p>
    <w:p w:rsidR="00B548AD" w:rsidRPr="00B548AD" w:rsidRDefault="00B548AD" w:rsidP="00B548AD">
      <w:pPr>
        <w:spacing w:after="0" w:line="240" w:lineRule="auto"/>
        <w:jc w:val="both"/>
        <w:rPr>
          <w:rFonts w:ascii="Times New Roman" w:hAnsi="Times New Roman"/>
          <w:b/>
          <w:i/>
          <w:sz w:val="24"/>
          <w:szCs w:val="24"/>
        </w:rPr>
      </w:pPr>
    </w:p>
    <w:p w:rsidR="00B548AD" w:rsidRPr="00B548AD" w:rsidRDefault="00B548AD" w:rsidP="00B548AD">
      <w:pPr>
        <w:spacing w:after="0" w:line="240" w:lineRule="auto"/>
        <w:jc w:val="both"/>
        <w:rPr>
          <w:rFonts w:ascii="Times New Roman" w:hAnsi="Times New Roman"/>
          <w:b/>
          <w:i/>
          <w:sz w:val="24"/>
          <w:szCs w:val="24"/>
        </w:rPr>
      </w:pPr>
      <w:r w:rsidRPr="00B548AD">
        <w:rPr>
          <w:rFonts w:ascii="Times New Roman" w:hAnsi="Times New Roman"/>
          <w:b/>
          <w:i/>
          <w:sz w:val="24"/>
          <w:szCs w:val="24"/>
        </w:rPr>
        <w:t>Department’s Reply</w:t>
      </w:r>
    </w:p>
    <w:p w:rsidR="00B548AD" w:rsidRPr="00B548AD" w:rsidRDefault="00B548AD" w:rsidP="00B548AD">
      <w:pPr>
        <w:spacing w:after="0" w:line="240" w:lineRule="auto"/>
        <w:jc w:val="both"/>
        <w:rPr>
          <w:rFonts w:ascii="Times New Roman" w:hAnsi="Times New Roman"/>
          <w:b/>
          <w:i/>
          <w:sz w:val="24"/>
          <w:szCs w:val="24"/>
        </w:rPr>
      </w:pPr>
    </w:p>
    <w:p w:rsidR="00B548AD" w:rsidRPr="00B548AD" w:rsidRDefault="00B548AD" w:rsidP="00B548AD">
      <w:pPr>
        <w:tabs>
          <w:tab w:val="left" w:pos="90"/>
          <w:tab w:val="left" w:pos="1080"/>
          <w:tab w:val="left" w:pos="1530"/>
        </w:tabs>
        <w:spacing w:line="240" w:lineRule="auto"/>
        <w:jc w:val="both"/>
        <w:rPr>
          <w:rFonts w:ascii="Times New Roman" w:eastAsiaTheme="minorHAnsi" w:hAnsi="Times New Roman"/>
          <w:sz w:val="24"/>
          <w:szCs w:val="24"/>
        </w:rPr>
      </w:pPr>
      <w:r w:rsidRPr="00B548AD">
        <w:rPr>
          <w:rFonts w:ascii="Times New Roman" w:eastAsiaTheme="minorHAnsi" w:hAnsi="Times New Roman"/>
          <w:sz w:val="24"/>
          <w:szCs w:val="24"/>
        </w:rPr>
        <w:t xml:space="preserve">The Registration of Deeds and Documents System </w:t>
      </w:r>
      <w:proofErr w:type="gramStart"/>
      <w:r w:rsidR="007D6F61">
        <w:rPr>
          <w:rFonts w:ascii="Times New Roman" w:eastAsiaTheme="minorHAnsi" w:hAnsi="Times New Roman"/>
          <w:sz w:val="24"/>
          <w:szCs w:val="24"/>
        </w:rPr>
        <w:t>captures</w:t>
      </w:r>
      <w:proofErr w:type="gramEnd"/>
      <w:r w:rsidR="007D6F61">
        <w:rPr>
          <w:rFonts w:ascii="Times New Roman" w:eastAsiaTheme="minorHAnsi" w:hAnsi="Times New Roman"/>
          <w:sz w:val="24"/>
          <w:szCs w:val="24"/>
        </w:rPr>
        <w:t xml:space="preserve"> all revenue collections </w:t>
      </w:r>
      <w:r w:rsidRPr="00B548AD">
        <w:rPr>
          <w:rFonts w:ascii="Times New Roman" w:eastAsiaTheme="minorHAnsi" w:hAnsi="Times New Roman"/>
          <w:sz w:val="24"/>
          <w:szCs w:val="24"/>
        </w:rPr>
        <w:t>at RGD and is shown in the Daily Analysis Collection Report. Collection</w:t>
      </w:r>
      <w:r w:rsidR="007D6F61">
        <w:rPr>
          <w:rFonts w:ascii="Times New Roman" w:eastAsiaTheme="minorHAnsi" w:hAnsi="Times New Roman"/>
          <w:sz w:val="24"/>
          <w:szCs w:val="24"/>
        </w:rPr>
        <w:t>s</w:t>
      </w:r>
      <w:r w:rsidRPr="00B548AD">
        <w:rPr>
          <w:rFonts w:ascii="Times New Roman" w:eastAsiaTheme="minorHAnsi" w:hAnsi="Times New Roman"/>
          <w:sz w:val="24"/>
          <w:szCs w:val="24"/>
        </w:rPr>
        <w:t xml:space="preserve"> for period 19 May to </w:t>
      </w:r>
      <w:r w:rsidRPr="00B548AD">
        <w:rPr>
          <w:rFonts w:ascii="Times New Roman" w:eastAsiaTheme="minorHAnsi" w:hAnsi="Times New Roman"/>
          <w:sz w:val="24"/>
          <w:szCs w:val="24"/>
        </w:rPr>
        <w:br/>
        <w:t xml:space="preserve">31 December 2014 amounted to Rs 3,499.7 million whereas the TAS figure indicated </w:t>
      </w:r>
      <w:r w:rsidRPr="00B548AD">
        <w:rPr>
          <w:rFonts w:ascii="Times New Roman" w:eastAsiaTheme="minorHAnsi" w:hAnsi="Times New Roman"/>
          <w:sz w:val="24"/>
          <w:szCs w:val="24"/>
        </w:rPr>
        <w:br/>
        <w:t>Rs 3,674.0 million.</w:t>
      </w:r>
      <w:r w:rsidR="000B054E">
        <w:rPr>
          <w:rFonts w:ascii="Times New Roman" w:eastAsiaTheme="minorHAnsi" w:hAnsi="Times New Roman"/>
          <w:sz w:val="24"/>
          <w:szCs w:val="24"/>
        </w:rPr>
        <w:t xml:space="preserve"> </w:t>
      </w:r>
      <w:r w:rsidRPr="00B548AD">
        <w:rPr>
          <w:rFonts w:ascii="Times New Roman" w:eastAsiaTheme="minorHAnsi" w:hAnsi="Times New Roman"/>
          <w:sz w:val="24"/>
          <w:szCs w:val="24"/>
        </w:rPr>
        <w:t>Some departments collect revenue</w:t>
      </w:r>
      <w:r w:rsidR="007D6F61">
        <w:rPr>
          <w:rFonts w:ascii="Times New Roman" w:eastAsiaTheme="minorHAnsi" w:hAnsi="Times New Roman"/>
          <w:sz w:val="24"/>
          <w:szCs w:val="24"/>
        </w:rPr>
        <w:t>s</w:t>
      </w:r>
      <w:r w:rsidRPr="00B548AD">
        <w:rPr>
          <w:rFonts w:ascii="Times New Roman" w:eastAsiaTheme="minorHAnsi" w:hAnsi="Times New Roman"/>
          <w:sz w:val="24"/>
          <w:szCs w:val="24"/>
        </w:rPr>
        <w:t xml:space="preserve"> on behalf of RGD and adjustments are made at the level of the Treasury.</w:t>
      </w:r>
    </w:p>
    <w:p w:rsidR="00B548AD" w:rsidRPr="00B548AD" w:rsidRDefault="00B548AD" w:rsidP="00B548AD">
      <w:pPr>
        <w:spacing w:after="0" w:line="240" w:lineRule="auto"/>
        <w:jc w:val="both"/>
        <w:rPr>
          <w:rFonts w:ascii="Times New Roman" w:eastAsia="Book Antiqua" w:hAnsi="Times New Roman"/>
          <w:sz w:val="24"/>
          <w:szCs w:val="24"/>
        </w:rPr>
      </w:pPr>
    </w:p>
    <w:p w:rsidR="00B548AD" w:rsidRPr="00B548AD" w:rsidRDefault="00127C2B" w:rsidP="00B548AD">
      <w:pPr>
        <w:spacing w:after="0" w:line="240" w:lineRule="auto"/>
        <w:contextualSpacing/>
        <w:jc w:val="both"/>
        <w:rPr>
          <w:rFonts w:ascii="Times New Roman" w:hAnsi="Times New Roman"/>
          <w:b/>
          <w:sz w:val="24"/>
          <w:szCs w:val="24"/>
        </w:rPr>
      </w:pPr>
      <w:proofErr w:type="gramStart"/>
      <w:r>
        <w:rPr>
          <w:rFonts w:ascii="Times New Roman" w:hAnsi="Times New Roman"/>
          <w:b/>
          <w:sz w:val="24"/>
          <w:szCs w:val="24"/>
        </w:rPr>
        <w:t>6.</w:t>
      </w:r>
      <w:r w:rsidR="00BF0E37">
        <w:rPr>
          <w:rFonts w:ascii="Times New Roman" w:hAnsi="Times New Roman"/>
          <w:b/>
          <w:sz w:val="24"/>
          <w:szCs w:val="24"/>
        </w:rPr>
        <w:t>5</w:t>
      </w:r>
      <w:r w:rsidR="00B548AD" w:rsidRPr="00B548AD">
        <w:rPr>
          <w:rFonts w:ascii="Times New Roman" w:hAnsi="Times New Roman"/>
          <w:b/>
          <w:sz w:val="24"/>
          <w:szCs w:val="24"/>
        </w:rPr>
        <w:t xml:space="preserve">  Debtors</w:t>
      </w:r>
      <w:proofErr w:type="gramEnd"/>
      <w:r w:rsidR="00B548AD" w:rsidRPr="00B548AD">
        <w:rPr>
          <w:rFonts w:ascii="Times New Roman" w:hAnsi="Times New Roman"/>
          <w:b/>
          <w:sz w:val="24"/>
          <w:szCs w:val="24"/>
        </w:rPr>
        <w:t xml:space="preserve"> </w:t>
      </w:r>
    </w:p>
    <w:p w:rsidR="00B548AD" w:rsidRPr="00B548AD" w:rsidRDefault="00B548AD" w:rsidP="00B548AD">
      <w:pPr>
        <w:spacing w:after="0" w:line="240" w:lineRule="auto"/>
        <w:ind w:left="567" w:hanging="567"/>
        <w:contextualSpacing/>
        <w:jc w:val="both"/>
        <w:rPr>
          <w:rFonts w:ascii="Times New Roman" w:hAnsi="Times New Roman"/>
          <w:b/>
          <w:sz w:val="24"/>
          <w:szCs w:val="24"/>
        </w:rPr>
      </w:pPr>
    </w:p>
    <w:p w:rsidR="00B548AD" w:rsidRPr="00B548AD" w:rsidRDefault="00B548AD" w:rsidP="00B548AD">
      <w:pPr>
        <w:spacing w:after="0" w:line="240" w:lineRule="auto"/>
        <w:jc w:val="both"/>
        <w:rPr>
          <w:rFonts w:ascii="Times New Roman" w:hAnsi="Times New Roman"/>
          <w:sz w:val="24"/>
          <w:szCs w:val="24"/>
        </w:rPr>
      </w:pPr>
      <w:r w:rsidRPr="00B548AD">
        <w:rPr>
          <w:rFonts w:ascii="Times New Roman" w:hAnsi="Times New Roman"/>
          <w:sz w:val="24"/>
          <w:szCs w:val="24"/>
        </w:rPr>
        <w:t xml:space="preserve">According to records maintained by the Valuation Section of the RGD, debtors </w:t>
      </w:r>
      <w:proofErr w:type="spellStart"/>
      <w:r w:rsidRPr="00B548AD">
        <w:rPr>
          <w:rFonts w:ascii="Times New Roman" w:hAnsi="Times New Roman"/>
          <w:sz w:val="24"/>
          <w:szCs w:val="24"/>
        </w:rPr>
        <w:t>totalled</w:t>
      </w:r>
      <w:proofErr w:type="spellEnd"/>
      <w:r w:rsidRPr="00B548AD">
        <w:rPr>
          <w:rFonts w:ascii="Times New Roman" w:hAnsi="Times New Roman"/>
          <w:sz w:val="24"/>
          <w:szCs w:val="24"/>
        </w:rPr>
        <w:t xml:space="preserve"> </w:t>
      </w:r>
      <w:r w:rsidRPr="00B548AD">
        <w:rPr>
          <w:rFonts w:ascii="Times New Roman" w:hAnsi="Times New Roman"/>
          <w:sz w:val="24"/>
          <w:szCs w:val="24"/>
        </w:rPr>
        <w:br/>
        <w:t xml:space="preserve">Rs 438 million whilst in the Statement of Arrears of Revenue, for inclusion in the Accountant General’s Report, the amount recorded as due was Rs 440 million, that is, a net difference of Rs 2 million as at 31 December 2014. </w:t>
      </w:r>
    </w:p>
    <w:p w:rsidR="00B548AD" w:rsidRPr="00B548AD" w:rsidRDefault="00B548AD" w:rsidP="00B548AD">
      <w:pPr>
        <w:spacing w:after="0" w:line="240" w:lineRule="auto"/>
        <w:jc w:val="both"/>
        <w:rPr>
          <w:rFonts w:ascii="Times New Roman" w:hAnsi="Times New Roman"/>
          <w:b/>
          <w:sz w:val="24"/>
          <w:szCs w:val="24"/>
        </w:rPr>
      </w:pPr>
    </w:p>
    <w:p w:rsidR="00B548AD" w:rsidRPr="00B548AD" w:rsidRDefault="00B548AD" w:rsidP="00B548AD">
      <w:pPr>
        <w:spacing w:line="240" w:lineRule="auto"/>
        <w:jc w:val="both"/>
        <w:rPr>
          <w:rFonts w:ascii="Times New Roman" w:eastAsiaTheme="minorHAnsi" w:hAnsi="Times New Roman"/>
          <w:b/>
          <w:i/>
          <w:sz w:val="24"/>
          <w:szCs w:val="24"/>
        </w:rPr>
      </w:pPr>
      <w:r w:rsidRPr="00B548AD">
        <w:rPr>
          <w:rFonts w:ascii="Times New Roman" w:eastAsiaTheme="minorHAnsi" w:hAnsi="Times New Roman"/>
          <w:b/>
          <w:i/>
          <w:sz w:val="24"/>
          <w:szCs w:val="24"/>
        </w:rPr>
        <w:t>Department’s Reply</w:t>
      </w:r>
    </w:p>
    <w:p w:rsidR="00B548AD" w:rsidRPr="00B548AD" w:rsidRDefault="00B548AD" w:rsidP="00B548AD">
      <w:pPr>
        <w:spacing w:line="240" w:lineRule="auto"/>
        <w:jc w:val="both"/>
        <w:rPr>
          <w:rFonts w:ascii="Times New Roman" w:eastAsiaTheme="minorHAnsi" w:hAnsi="Times New Roman"/>
          <w:sz w:val="24"/>
          <w:szCs w:val="24"/>
        </w:rPr>
      </w:pPr>
      <w:r w:rsidRPr="00B548AD">
        <w:rPr>
          <w:rFonts w:ascii="Times New Roman" w:eastAsiaTheme="minorHAnsi" w:hAnsi="Times New Roman"/>
          <w:sz w:val="24"/>
          <w:szCs w:val="24"/>
        </w:rPr>
        <w:t xml:space="preserve">The amount recorded in the Statement of Arrears of Revenue for inclusion in the </w:t>
      </w:r>
      <w:r w:rsidRPr="00B548AD">
        <w:rPr>
          <w:rFonts w:ascii="Times New Roman" w:eastAsiaTheme="minorHAnsi" w:hAnsi="Times New Roman"/>
          <w:sz w:val="24"/>
          <w:szCs w:val="24"/>
        </w:rPr>
        <w:br/>
        <w:t xml:space="preserve">Accountant General’s Report should have been Rs 439 million. The difference of </w:t>
      </w:r>
      <w:r w:rsidRPr="00B548AD">
        <w:rPr>
          <w:rFonts w:ascii="Times New Roman" w:eastAsiaTheme="minorHAnsi" w:hAnsi="Times New Roman"/>
          <w:sz w:val="24"/>
          <w:szCs w:val="24"/>
        </w:rPr>
        <w:br/>
        <w:t xml:space="preserve">Rs 1 million will be adjusted in the current financial year after an </w:t>
      </w:r>
      <w:proofErr w:type="spellStart"/>
      <w:r w:rsidRPr="00B548AD">
        <w:rPr>
          <w:rFonts w:ascii="Times New Roman" w:eastAsiaTheme="minorHAnsi" w:hAnsi="Times New Roman"/>
          <w:sz w:val="24"/>
          <w:szCs w:val="24"/>
        </w:rPr>
        <w:t>indepth</w:t>
      </w:r>
      <w:proofErr w:type="spellEnd"/>
      <w:r w:rsidRPr="00B548AD">
        <w:rPr>
          <w:rFonts w:ascii="Times New Roman" w:eastAsiaTheme="minorHAnsi" w:hAnsi="Times New Roman"/>
          <w:sz w:val="24"/>
          <w:szCs w:val="24"/>
        </w:rPr>
        <w:t xml:space="preserve"> analysis on previous debts.</w:t>
      </w:r>
    </w:p>
    <w:p w:rsidR="00B548AD" w:rsidRPr="00B548AD" w:rsidRDefault="00B548AD" w:rsidP="00B548AD">
      <w:pPr>
        <w:spacing w:after="0" w:line="240" w:lineRule="auto"/>
        <w:jc w:val="both"/>
        <w:rPr>
          <w:rFonts w:ascii="Times New Roman" w:eastAsiaTheme="minorHAnsi" w:hAnsi="Times New Roman"/>
          <w:sz w:val="24"/>
          <w:szCs w:val="24"/>
        </w:rPr>
      </w:pPr>
    </w:p>
    <w:p w:rsidR="00B548AD" w:rsidRPr="00B548AD" w:rsidRDefault="00127C2B" w:rsidP="00B548AD">
      <w:pPr>
        <w:spacing w:after="0" w:line="240" w:lineRule="auto"/>
        <w:contextualSpacing/>
        <w:jc w:val="both"/>
        <w:rPr>
          <w:rFonts w:ascii="Times New Roman" w:hAnsi="Times New Roman"/>
          <w:b/>
          <w:i/>
          <w:sz w:val="24"/>
          <w:szCs w:val="24"/>
        </w:rPr>
      </w:pPr>
      <w:proofErr w:type="gramStart"/>
      <w:r>
        <w:rPr>
          <w:rFonts w:ascii="Times New Roman" w:hAnsi="Times New Roman"/>
          <w:b/>
          <w:i/>
          <w:sz w:val="24"/>
          <w:szCs w:val="24"/>
        </w:rPr>
        <w:t>6.</w:t>
      </w:r>
      <w:r w:rsidR="00BF0E37">
        <w:rPr>
          <w:rFonts w:ascii="Times New Roman" w:hAnsi="Times New Roman"/>
          <w:b/>
          <w:i/>
          <w:sz w:val="24"/>
          <w:szCs w:val="24"/>
        </w:rPr>
        <w:t>5</w:t>
      </w:r>
      <w:r w:rsidR="00B548AD" w:rsidRPr="00B548AD">
        <w:rPr>
          <w:rFonts w:ascii="Times New Roman" w:hAnsi="Times New Roman"/>
          <w:b/>
          <w:i/>
          <w:sz w:val="24"/>
          <w:szCs w:val="24"/>
        </w:rPr>
        <w:t>.1  Debtors</w:t>
      </w:r>
      <w:proofErr w:type="gramEnd"/>
      <w:r w:rsidR="00B548AD" w:rsidRPr="00B548AD">
        <w:rPr>
          <w:rFonts w:ascii="Times New Roman" w:hAnsi="Times New Roman"/>
          <w:b/>
          <w:i/>
          <w:sz w:val="24"/>
          <w:szCs w:val="24"/>
        </w:rPr>
        <w:t xml:space="preserve"> Management at RGD</w:t>
      </w:r>
    </w:p>
    <w:p w:rsidR="00B548AD" w:rsidRPr="00B548AD" w:rsidRDefault="00B548AD" w:rsidP="00B548AD">
      <w:pPr>
        <w:spacing w:after="0" w:line="240" w:lineRule="auto"/>
        <w:ind w:left="567" w:hanging="567"/>
        <w:contextualSpacing/>
        <w:jc w:val="both"/>
        <w:rPr>
          <w:rFonts w:ascii="Times New Roman" w:hAnsi="Times New Roman"/>
          <w:b/>
          <w:sz w:val="24"/>
          <w:szCs w:val="24"/>
        </w:rPr>
      </w:pPr>
    </w:p>
    <w:p w:rsidR="00B548AD" w:rsidRPr="00B548AD" w:rsidRDefault="00B548AD" w:rsidP="00B548AD">
      <w:pPr>
        <w:spacing w:after="0" w:line="240" w:lineRule="auto"/>
        <w:jc w:val="both"/>
        <w:rPr>
          <w:rFonts w:ascii="Times New Roman" w:hAnsi="Times New Roman"/>
          <w:i/>
          <w:sz w:val="24"/>
          <w:szCs w:val="24"/>
        </w:rPr>
      </w:pPr>
      <w:r w:rsidRPr="00B548AD">
        <w:rPr>
          <w:rFonts w:ascii="Times New Roman" w:hAnsi="Times New Roman"/>
          <w:i/>
          <w:sz w:val="24"/>
          <w:szCs w:val="24"/>
        </w:rPr>
        <w:t>Financial Review of Arrears of Revenue – Rs 440 Million</w:t>
      </w:r>
    </w:p>
    <w:p w:rsidR="00B548AD" w:rsidRPr="00B548AD" w:rsidRDefault="00B548AD" w:rsidP="00B548AD">
      <w:pPr>
        <w:spacing w:after="0" w:line="240" w:lineRule="auto"/>
        <w:jc w:val="both"/>
        <w:rPr>
          <w:rFonts w:ascii="Times New Roman" w:hAnsi="Times New Roman"/>
          <w:b/>
          <w:sz w:val="24"/>
          <w:szCs w:val="24"/>
        </w:rPr>
      </w:pPr>
    </w:p>
    <w:p w:rsidR="00B548AD" w:rsidRDefault="00B548AD" w:rsidP="00B548AD">
      <w:pPr>
        <w:spacing w:after="0" w:line="240" w:lineRule="auto"/>
        <w:contextualSpacing/>
        <w:jc w:val="both"/>
        <w:rPr>
          <w:rFonts w:ascii="Times New Roman" w:hAnsi="Times New Roman"/>
          <w:sz w:val="24"/>
          <w:szCs w:val="24"/>
        </w:rPr>
      </w:pPr>
      <w:r w:rsidRPr="00B548AD">
        <w:rPr>
          <w:rFonts w:ascii="Times New Roman" w:hAnsi="Times New Roman"/>
          <w:sz w:val="24"/>
          <w:szCs w:val="24"/>
        </w:rPr>
        <w:t>Arrears of revenue remained a high risk area. Total debtors balances stood at Rs 440 million at 31 December 2014 compared to Rs 331 million at 31 December 2013, that is, an increase of 33 per cent. This is shown in Table 6-2.</w:t>
      </w:r>
    </w:p>
    <w:p w:rsidR="007D6F61" w:rsidRDefault="007D6F61" w:rsidP="00B548AD">
      <w:pPr>
        <w:spacing w:after="0" w:line="240" w:lineRule="auto"/>
        <w:contextualSpacing/>
        <w:jc w:val="both"/>
        <w:rPr>
          <w:rFonts w:ascii="Times New Roman" w:hAnsi="Times New Roman"/>
          <w:sz w:val="24"/>
          <w:szCs w:val="24"/>
        </w:rPr>
      </w:pPr>
    </w:p>
    <w:p w:rsidR="00C53572" w:rsidRDefault="00C53572">
      <w:pPr>
        <w:rPr>
          <w:rFonts w:ascii="Times New Roman" w:hAnsi="Times New Roman"/>
          <w:sz w:val="24"/>
          <w:szCs w:val="24"/>
        </w:rPr>
      </w:pPr>
      <w:r>
        <w:rPr>
          <w:rFonts w:ascii="Times New Roman" w:hAnsi="Times New Roman"/>
          <w:sz w:val="24"/>
          <w:szCs w:val="24"/>
        </w:rPr>
        <w:br w:type="page"/>
      </w:r>
    </w:p>
    <w:p w:rsidR="00B548AD" w:rsidRPr="00B548AD" w:rsidRDefault="00B548AD" w:rsidP="00B548AD">
      <w:pPr>
        <w:spacing w:before="120" w:after="120" w:line="240" w:lineRule="auto"/>
        <w:jc w:val="center"/>
        <w:rPr>
          <w:rFonts w:ascii="Times New Roman" w:hAnsi="Times New Roman"/>
          <w:i/>
          <w:sz w:val="24"/>
          <w:szCs w:val="24"/>
        </w:rPr>
      </w:pPr>
      <w:r w:rsidRPr="00B548AD">
        <w:rPr>
          <w:rFonts w:ascii="Times New Roman" w:hAnsi="Times New Roman"/>
          <w:i/>
          <w:sz w:val="24"/>
          <w:szCs w:val="24"/>
        </w:rPr>
        <w:lastRenderedPageBreak/>
        <w:t>Table 6-</w:t>
      </w:r>
      <w:proofErr w:type="gramStart"/>
      <w:r w:rsidRPr="00B548AD">
        <w:rPr>
          <w:rFonts w:ascii="Times New Roman" w:hAnsi="Times New Roman"/>
          <w:i/>
          <w:sz w:val="24"/>
          <w:szCs w:val="24"/>
        </w:rPr>
        <w:t>2  Movements</w:t>
      </w:r>
      <w:proofErr w:type="gramEnd"/>
      <w:r w:rsidRPr="00B548AD">
        <w:rPr>
          <w:rFonts w:ascii="Times New Roman" w:hAnsi="Times New Roman"/>
          <w:i/>
          <w:sz w:val="24"/>
          <w:szCs w:val="24"/>
        </w:rPr>
        <w:t xml:space="preserve"> of Arrears of Revenue from 2010 to 2014</w:t>
      </w:r>
    </w:p>
    <w:p w:rsidR="00B548AD" w:rsidRPr="00B548AD" w:rsidRDefault="00B548AD" w:rsidP="00B548AD">
      <w:pPr>
        <w:pBdr>
          <w:top w:val="single" w:sz="4" w:space="1" w:color="auto"/>
        </w:pBdr>
        <w:spacing w:after="0" w:line="240" w:lineRule="auto"/>
        <w:jc w:val="center"/>
        <w:rPr>
          <w:rFonts w:ascii="Times New Roman" w:hAnsi="Times New Roman"/>
          <w:i/>
          <w:sz w:val="24"/>
          <w:szCs w:val="24"/>
        </w:rPr>
      </w:pPr>
    </w:p>
    <w:tbl>
      <w:tblPr>
        <w:tblW w:w="7380" w:type="dxa"/>
        <w:jc w:val="center"/>
        <w:tblInd w:w="93" w:type="dxa"/>
        <w:tblLook w:val="04A0"/>
      </w:tblPr>
      <w:tblGrid>
        <w:gridCol w:w="2565"/>
        <w:gridCol w:w="963"/>
        <w:gridCol w:w="963"/>
        <w:gridCol w:w="963"/>
        <w:gridCol w:w="963"/>
        <w:gridCol w:w="963"/>
      </w:tblGrid>
      <w:tr w:rsidR="00B548AD" w:rsidRPr="00B548AD" w:rsidTr="00B548AD">
        <w:trPr>
          <w:trHeight w:val="315"/>
          <w:jc w:val="center"/>
        </w:trPr>
        <w:tc>
          <w:tcPr>
            <w:tcW w:w="2565" w:type="dxa"/>
            <w:shd w:val="clear" w:color="auto" w:fill="auto"/>
            <w:vAlign w:val="center"/>
            <w:hideMark/>
          </w:tcPr>
          <w:p w:rsidR="00B548AD" w:rsidRPr="00B548AD" w:rsidRDefault="00B548AD" w:rsidP="00B548AD">
            <w:pPr>
              <w:spacing w:before="120" w:after="120" w:line="240" w:lineRule="auto"/>
              <w:jc w:val="both"/>
              <w:rPr>
                <w:rFonts w:ascii="Times New Roman" w:eastAsia="Times New Roman" w:hAnsi="Times New Roman"/>
                <w:b/>
                <w:color w:val="000000"/>
                <w:sz w:val="24"/>
                <w:szCs w:val="24"/>
              </w:rPr>
            </w:pPr>
          </w:p>
          <w:p w:rsidR="00B548AD" w:rsidRPr="00B548AD" w:rsidRDefault="00B548AD" w:rsidP="00B548AD">
            <w:pPr>
              <w:spacing w:before="120" w:after="120" w:line="240" w:lineRule="auto"/>
              <w:jc w:val="both"/>
              <w:rPr>
                <w:rFonts w:ascii="Times New Roman" w:eastAsia="Times New Roman" w:hAnsi="Times New Roman"/>
                <w:b/>
                <w:color w:val="000000"/>
                <w:sz w:val="24"/>
                <w:szCs w:val="24"/>
              </w:rPr>
            </w:pPr>
          </w:p>
        </w:tc>
        <w:tc>
          <w:tcPr>
            <w:tcW w:w="963" w:type="dxa"/>
            <w:shd w:val="clear" w:color="auto" w:fill="auto"/>
            <w:vAlign w:val="center"/>
            <w:hideMark/>
          </w:tcPr>
          <w:p w:rsidR="00B548AD" w:rsidRPr="00B548AD" w:rsidRDefault="00B548AD" w:rsidP="00B548AD">
            <w:pPr>
              <w:spacing w:before="120" w:after="120" w:line="240" w:lineRule="auto"/>
              <w:jc w:val="center"/>
              <w:rPr>
                <w:rFonts w:ascii="Times New Roman" w:eastAsia="Times New Roman" w:hAnsi="Times New Roman"/>
                <w:b/>
                <w:color w:val="000000"/>
                <w:sz w:val="24"/>
                <w:szCs w:val="24"/>
              </w:rPr>
            </w:pPr>
            <w:r w:rsidRPr="00B548AD">
              <w:rPr>
                <w:rFonts w:ascii="Times New Roman" w:eastAsia="Times New Roman" w:hAnsi="Times New Roman"/>
                <w:b/>
                <w:color w:val="000000"/>
                <w:sz w:val="24"/>
                <w:szCs w:val="24"/>
              </w:rPr>
              <w:t>2010</w:t>
            </w:r>
          </w:p>
        </w:tc>
        <w:tc>
          <w:tcPr>
            <w:tcW w:w="963" w:type="dxa"/>
            <w:shd w:val="clear" w:color="auto" w:fill="auto"/>
            <w:vAlign w:val="center"/>
            <w:hideMark/>
          </w:tcPr>
          <w:p w:rsidR="00B548AD" w:rsidRPr="00B548AD" w:rsidRDefault="00B548AD" w:rsidP="00B548AD">
            <w:pPr>
              <w:spacing w:before="120" w:after="120" w:line="240" w:lineRule="auto"/>
              <w:jc w:val="center"/>
              <w:rPr>
                <w:rFonts w:ascii="Times New Roman" w:eastAsia="Times New Roman" w:hAnsi="Times New Roman"/>
                <w:b/>
                <w:color w:val="000000"/>
                <w:sz w:val="24"/>
                <w:szCs w:val="24"/>
              </w:rPr>
            </w:pPr>
            <w:r w:rsidRPr="00B548AD">
              <w:rPr>
                <w:rFonts w:ascii="Times New Roman" w:eastAsia="Times New Roman" w:hAnsi="Times New Roman"/>
                <w:b/>
                <w:color w:val="000000"/>
                <w:sz w:val="24"/>
                <w:szCs w:val="24"/>
              </w:rPr>
              <w:t>2011</w:t>
            </w:r>
          </w:p>
        </w:tc>
        <w:tc>
          <w:tcPr>
            <w:tcW w:w="963" w:type="dxa"/>
            <w:shd w:val="clear" w:color="auto" w:fill="auto"/>
            <w:vAlign w:val="center"/>
            <w:hideMark/>
          </w:tcPr>
          <w:p w:rsidR="00B548AD" w:rsidRPr="00B548AD" w:rsidRDefault="00B548AD" w:rsidP="00B548AD">
            <w:pPr>
              <w:spacing w:before="120" w:after="120" w:line="240" w:lineRule="auto"/>
              <w:jc w:val="center"/>
              <w:rPr>
                <w:rFonts w:ascii="Times New Roman" w:eastAsia="Times New Roman" w:hAnsi="Times New Roman"/>
                <w:b/>
                <w:color w:val="000000"/>
                <w:sz w:val="24"/>
                <w:szCs w:val="24"/>
              </w:rPr>
            </w:pPr>
            <w:r w:rsidRPr="00B548AD">
              <w:rPr>
                <w:rFonts w:ascii="Times New Roman" w:eastAsia="Times New Roman" w:hAnsi="Times New Roman"/>
                <w:b/>
                <w:color w:val="000000"/>
                <w:sz w:val="24"/>
                <w:szCs w:val="24"/>
              </w:rPr>
              <w:t>2012</w:t>
            </w:r>
          </w:p>
        </w:tc>
        <w:tc>
          <w:tcPr>
            <w:tcW w:w="963" w:type="dxa"/>
            <w:shd w:val="clear" w:color="auto" w:fill="auto"/>
            <w:vAlign w:val="center"/>
            <w:hideMark/>
          </w:tcPr>
          <w:p w:rsidR="00B548AD" w:rsidRPr="00B548AD" w:rsidRDefault="00B548AD" w:rsidP="00B548AD">
            <w:pPr>
              <w:spacing w:before="120" w:after="120" w:line="240" w:lineRule="auto"/>
              <w:jc w:val="center"/>
              <w:rPr>
                <w:rFonts w:ascii="Times New Roman" w:eastAsia="Times New Roman" w:hAnsi="Times New Roman"/>
                <w:b/>
                <w:color w:val="000000"/>
                <w:sz w:val="24"/>
                <w:szCs w:val="24"/>
              </w:rPr>
            </w:pPr>
            <w:r w:rsidRPr="00B548AD">
              <w:rPr>
                <w:rFonts w:ascii="Times New Roman" w:eastAsia="Times New Roman" w:hAnsi="Times New Roman"/>
                <w:b/>
                <w:color w:val="000000"/>
                <w:sz w:val="24"/>
                <w:szCs w:val="24"/>
              </w:rPr>
              <w:t>2013</w:t>
            </w:r>
          </w:p>
        </w:tc>
        <w:tc>
          <w:tcPr>
            <w:tcW w:w="963" w:type="dxa"/>
            <w:shd w:val="clear" w:color="auto" w:fill="auto"/>
            <w:vAlign w:val="center"/>
            <w:hideMark/>
          </w:tcPr>
          <w:p w:rsidR="00B548AD" w:rsidRPr="00B548AD" w:rsidRDefault="00B548AD" w:rsidP="00B548AD">
            <w:pPr>
              <w:spacing w:before="120" w:after="120" w:line="240" w:lineRule="auto"/>
              <w:jc w:val="center"/>
              <w:rPr>
                <w:rFonts w:ascii="Times New Roman" w:eastAsia="Times New Roman" w:hAnsi="Times New Roman"/>
                <w:b/>
                <w:color w:val="000000"/>
                <w:sz w:val="24"/>
                <w:szCs w:val="24"/>
              </w:rPr>
            </w:pPr>
            <w:r w:rsidRPr="00B548AD">
              <w:rPr>
                <w:rFonts w:ascii="Times New Roman" w:eastAsia="Times New Roman" w:hAnsi="Times New Roman"/>
                <w:b/>
                <w:color w:val="000000"/>
                <w:sz w:val="24"/>
                <w:szCs w:val="24"/>
              </w:rPr>
              <w:t>2014</w:t>
            </w:r>
          </w:p>
        </w:tc>
      </w:tr>
      <w:tr w:rsidR="00B548AD" w:rsidRPr="00B548AD" w:rsidTr="00B548AD">
        <w:trPr>
          <w:trHeight w:val="315"/>
          <w:jc w:val="center"/>
        </w:trPr>
        <w:tc>
          <w:tcPr>
            <w:tcW w:w="2565" w:type="dxa"/>
            <w:shd w:val="clear" w:color="auto" w:fill="auto"/>
            <w:vAlign w:val="center"/>
          </w:tcPr>
          <w:p w:rsidR="00B548AD" w:rsidRPr="00B548AD" w:rsidRDefault="00B548AD" w:rsidP="00B548AD">
            <w:pPr>
              <w:spacing w:before="120" w:after="120" w:line="240" w:lineRule="auto"/>
              <w:jc w:val="both"/>
              <w:rPr>
                <w:rFonts w:ascii="Times New Roman" w:eastAsia="Times New Roman" w:hAnsi="Times New Roman"/>
                <w:color w:val="000000"/>
                <w:sz w:val="24"/>
                <w:szCs w:val="24"/>
              </w:rPr>
            </w:pPr>
          </w:p>
        </w:tc>
        <w:tc>
          <w:tcPr>
            <w:tcW w:w="963" w:type="dxa"/>
            <w:shd w:val="clear" w:color="auto" w:fill="auto"/>
            <w:vAlign w:val="center"/>
          </w:tcPr>
          <w:p w:rsidR="00B548AD" w:rsidRPr="00B548AD" w:rsidRDefault="00B548AD" w:rsidP="00B548AD">
            <w:pPr>
              <w:spacing w:before="120" w:after="120" w:line="240" w:lineRule="auto"/>
              <w:jc w:val="center"/>
              <w:rPr>
                <w:rFonts w:ascii="Times New Roman" w:eastAsia="Times New Roman" w:hAnsi="Times New Roman"/>
                <w:b/>
                <w:color w:val="000000"/>
                <w:sz w:val="24"/>
                <w:szCs w:val="24"/>
              </w:rPr>
            </w:pPr>
            <w:r w:rsidRPr="00B548AD">
              <w:rPr>
                <w:rFonts w:ascii="Times New Roman" w:eastAsia="Times New Roman" w:hAnsi="Times New Roman"/>
                <w:b/>
                <w:color w:val="000000"/>
                <w:sz w:val="24"/>
                <w:szCs w:val="24"/>
              </w:rPr>
              <w:t>Rs million</w:t>
            </w:r>
          </w:p>
        </w:tc>
        <w:tc>
          <w:tcPr>
            <w:tcW w:w="963" w:type="dxa"/>
            <w:shd w:val="clear" w:color="auto" w:fill="auto"/>
            <w:vAlign w:val="center"/>
          </w:tcPr>
          <w:p w:rsidR="00B548AD" w:rsidRPr="00B548AD" w:rsidRDefault="00B548AD" w:rsidP="00B548AD">
            <w:pPr>
              <w:spacing w:before="120" w:after="120" w:line="240" w:lineRule="auto"/>
              <w:jc w:val="center"/>
              <w:rPr>
                <w:rFonts w:ascii="Times New Roman" w:eastAsia="Times New Roman" w:hAnsi="Times New Roman"/>
                <w:b/>
                <w:color w:val="000000"/>
                <w:sz w:val="24"/>
                <w:szCs w:val="24"/>
              </w:rPr>
            </w:pPr>
            <w:r w:rsidRPr="00B548AD">
              <w:rPr>
                <w:rFonts w:ascii="Times New Roman" w:eastAsia="Times New Roman" w:hAnsi="Times New Roman"/>
                <w:b/>
                <w:color w:val="000000"/>
                <w:sz w:val="24"/>
                <w:szCs w:val="24"/>
              </w:rPr>
              <w:t>Rs million</w:t>
            </w:r>
          </w:p>
        </w:tc>
        <w:tc>
          <w:tcPr>
            <w:tcW w:w="963" w:type="dxa"/>
            <w:shd w:val="clear" w:color="auto" w:fill="auto"/>
            <w:vAlign w:val="center"/>
          </w:tcPr>
          <w:p w:rsidR="00B548AD" w:rsidRPr="00B548AD" w:rsidRDefault="00B548AD" w:rsidP="00B548AD">
            <w:pPr>
              <w:spacing w:before="120" w:after="120" w:line="240" w:lineRule="auto"/>
              <w:jc w:val="center"/>
              <w:rPr>
                <w:rFonts w:ascii="Times New Roman" w:eastAsia="Times New Roman" w:hAnsi="Times New Roman"/>
                <w:b/>
                <w:color w:val="000000"/>
                <w:sz w:val="24"/>
                <w:szCs w:val="24"/>
              </w:rPr>
            </w:pPr>
            <w:r w:rsidRPr="00B548AD">
              <w:rPr>
                <w:rFonts w:ascii="Times New Roman" w:eastAsia="Times New Roman" w:hAnsi="Times New Roman"/>
                <w:b/>
                <w:color w:val="000000"/>
                <w:sz w:val="24"/>
                <w:szCs w:val="24"/>
              </w:rPr>
              <w:t>Rs million</w:t>
            </w:r>
          </w:p>
        </w:tc>
        <w:tc>
          <w:tcPr>
            <w:tcW w:w="963" w:type="dxa"/>
            <w:shd w:val="clear" w:color="auto" w:fill="auto"/>
            <w:vAlign w:val="center"/>
          </w:tcPr>
          <w:p w:rsidR="00B548AD" w:rsidRPr="00B548AD" w:rsidRDefault="00B548AD" w:rsidP="00B548AD">
            <w:pPr>
              <w:spacing w:before="120" w:after="120" w:line="240" w:lineRule="auto"/>
              <w:jc w:val="center"/>
              <w:rPr>
                <w:rFonts w:ascii="Times New Roman" w:eastAsia="Times New Roman" w:hAnsi="Times New Roman"/>
                <w:b/>
                <w:color w:val="000000"/>
                <w:sz w:val="24"/>
                <w:szCs w:val="24"/>
              </w:rPr>
            </w:pPr>
            <w:r w:rsidRPr="00B548AD">
              <w:rPr>
                <w:rFonts w:ascii="Times New Roman" w:eastAsia="Times New Roman" w:hAnsi="Times New Roman"/>
                <w:b/>
                <w:color w:val="000000"/>
                <w:sz w:val="24"/>
                <w:szCs w:val="24"/>
              </w:rPr>
              <w:t>Rs million</w:t>
            </w:r>
          </w:p>
        </w:tc>
        <w:tc>
          <w:tcPr>
            <w:tcW w:w="963" w:type="dxa"/>
            <w:shd w:val="clear" w:color="auto" w:fill="auto"/>
            <w:vAlign w:val="center"/>
          </w:tcPr>
          <w:p w:rsidR="00B548AD" w:rsidRPr="00B548AD" w:rsidRDefault="00B548AD" w:rsidP="00B548AD">
            <w:pPr>
              <w:spacing w:before="120" w:after="120" w:line="240" w:lineRule="auto"/>
              <w:jc w:val="center"/>
              <w:rPr>
                <w:rFonts w:ascii="Times New Roman" w:eastAsia="Times New Roman" w:hAnsi="Times New Roman"/>
                <w:b/>
                <w:color w:val="000000"/>
                <w:sz w:val="24"/>
                <w:szCs w:val="24"/>
              </w:rPr>
            </w:pPr>
            <w:r w:rsidRPr="00B548AD">
              <w:rPr>
                <w:rFonts w:ascii="Times New Roman" w:eastAsia="Times New Roman" w:hAnsi="Times New Roman"/>
                <w:b/>
                <w:color w:val="000000"/>
                <w:sz w:val="24"/>
                <w:szCs w:val="24"/>
              </w:rPr>
              <w:t>Rs million</w:t>
            </w:r>
          </w:p>
        </w:tc>
      </w:tr>
      <w:tr w:rsidR="00B548AD" w:rsidRPr="00B548AD" w:rsidTr="00B548AD">
        <w:trPr>
          <w:trHeight w:val="315"/>
          <w:jc w:val="center"/>
        </w:trPr>
        <w:tc>
          <w:tcPr>
            <w:tcW w:w="2565" w:type="dxa"/>
            <w:shd w:val="clear" w:color="auto" w:fill="auto"/>
            <w:vAlign w:val="center"/>
            <w:hideMark/>
          </w:tcPr>
          <w:p w:rsidR="00B548AD" w:rsidRPr="00B548AD" w:rsidRDefault="00B548AD" w:rsidP="00B548AD">
            <w:pPr>
              <w:spacing w:before="120" w:after="120" w:line="240" w:lineRule="auto"/>
              <w:jc w:val="both"/>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Balance at 1 January</w:t>
            </w:r>
          </w:p>
        </w:tc>
        <w:tc>
          <w:tcPr>
            <w:tcW w:w="963" w:type="dxa"/>
            <w:shd w:val="clear" w:color="auto" w:fill="auto"/>
            <w:vAlign w:val="center"/>
            <w:hideMark/>
          </w:tcPr>
          <w:p w:rsidR="00B548AD" w:rsidRPr="00B548AD" w:rsidRDefault="00B548AD" w:rsidP="00B548AD">
            <w:pPr>
              <w:spacing w:before="120" w:after="120" w:line="240" w:lineRule="auto"/>
              <w:ind w:left="-346" w:right="193"/>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181</w:t>
            </w:r>
          </w:p>
        </w:tc>
        <w:tc>
          <w:tcPr>
            <w:tcW w:w="963" w:type="dxa"/>
            <w:shd w:val="clear" w:color="auto" w:fill="auto"/>
            <w:vAlign w:val="center"/>
            <w:hideMark/>
          </w:tcPr>
          <w:p w:rsidR="00B548AD" w:rsidRPr="00B548AD" w:rsidRDefault="00B548AD" w:rsidP="00B548AD">
            <w:pPr>
              <w:spacing w:before="120" w:after="120" w:line="240" w:lineRule="auto"/>
              <w:ind w:left="-229" w:right="156"/>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196</w:t>
            </w:r>
          </w:p>
        </w:tc>
        <w:tc>
          <w:tcPr>
            <w:tcW w:w="963" w:type="dxa"/>
            <w:shd w:val="clear" w:color="auto" w:fill="auto"/>
            <w:vAlign w:val="center"/>
            <w:hideMark/>
          </w:tcPr>
          <w:p w:rsidR="00B548AD" w:rsidRPr="00B548AD" w:rsidRDefault="00B548AD" w:rsidP="00B548AD">
            <w:pPr>
              <w:tabs>
                <w:tab w:val="left" w:pos="608"/>
              </w:tabs>
              <w:spacing w:before="120" w:after="120" w:line="240" w:lineRule="auto"/>
              <w:ind w:left="-382" w:right="139"/>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213</w:t>
            </w:r>
          </w:p>
        </w:tc>
        <w:tc>
          <w:tcPr>
            <w:tcW w:w="963" w:type="dxa"/>
            <w:shd w:val="clear" w:color="auto" w:fill="auto"/>
            <w:vAlign w:val="center"/>
            <w:hideMark/>
          </w:tcPr>
          <w:p w:rsidR="00B548AD" w:rsidRPr="00B548AD" w:rsidRDefault="00B548AD" w:rsidP="00B548AD">
            <w:pPr>
              <w:spacing w:before="120" w:after="120" w:line="240" w:lineRule="auto"/>
              <w:ind w:left="-265" w:right="192"/>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290</w:t>
            </w:r>
          </w:p>
        </w:tc>
        <w:tc>
          <w:tcPr>
            <w:tcW w:w="963" w:type="dxa"/>
            <w:shd w:val="clear" w:color="auto" w:fill="auto"/>
            <w:vAlign w:val="center"/>
            <w:hideMark/>
          </w:tcPr>
          <w:p w:rsidR="00B548AD" w:rsidRPr="00B548AD" w:rsidRDefault="00B548AD" w:rsidP="00B548AD">
            <w:pPr>
              <w:spacing w:before="120" w:after="120" w:line="240" w:lineRule="auto"/>
              <w:ind w:left="-238" w:right="165"/>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331</w:t>
            </w:r>
          </w:p>
        </w:tc>
      </w:tr>
      <w:tr w:rsidR="00B548AD" w:rsidRPr="00B548AD" w:rsidTr="00B548AD">
        <w:trPr>
          <w:trHeight w:val="315"/>
          <w:jc w:val="center"/>
        </w:trPr>
        <w:tc>
          <w:tcPr>
            <w:tcW w:w="2565" w:type="dxa"/>
            <w:shd w:val="clear" w:color="auto" w:fill="auto"/>
            <w:vAlign w:val="center"/>
            <w:hideMark/>
          </w:tcPr>
          <w:p w:rsidR="00B548AD" w:rsidRPr="00B548AD" w:rsidRDefault="00B548AD" w:rsidP="00B548AD">
            <w:pPr>
              <w:spacing w:before="120" w:after="120" w:line="240" w:lineRule="auto"/>
              <w:jc w:val="both"/>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Adjustment to Debits</w:t>
            </w:r>
          </w:p>
        </w:tc>
        <w:tc>
          <w:tcPr>
            <w:tcW w:w="963" w:type="dxa"/>
            <w:shd w:val="clear" w:color="auto" w:fill="auto"/>
            <w:vAlign w:val="center"/>
            <w:hideMark/>
          </w:tcPr>
          <w:p w:rsidR="00B548AD" w:rsidRPr="00B548AD" w:rsidRDefault="00B548AD" w:rsidP="00B548AD">
            <w:pPr>
              <w:spacing w:before="120" w:after="120" w:line="240" w:lineRule="auto"/>
              <w:ind w:left="-346" w:right="193"/>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3</w:t>
            </w:r>
          </w:p>
        </w:tc>
        <w:tc>
          <w:tcPr>
            <w:tcW w:w="963" w:type="dxa"/>
            <w:shd w:val="clear" w:color="auto" w:fill="auto"/>
            <w:vAlign w:val="center"/>
            <w:hideMark/>
          </w:tcPr>
          <w:p w:rsidR="00B548AD" w:rsidRPr="00B548AD" w:rsidRDefault="00B548AD" w:rsidP="00B548AD">
            <w:pPr>
              <w:spacing w:before="120" w:after="120" w:line="240" w:lineRule="auto"/>
              <w:ind w:left="-229" w:right="156"/>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(5)</w:t>
            </w:r>
          </w:p>
        </w:tc>
        <w:tc>
          <w:tcPr>
            <w:tcW w:w="963" w:type="dxa"/>
            <w:shd w:val="clear" w:color="auto" w:fill="auto"/>
            <w:vAlign w:val="center"/>
            <w:hideMark/>
          </w:tcPr>
          <w:p w:rsidR="00B548AD" w:rsidRPr="00B548AD" w:rsidRDefault="00B548AD" w:rsidP="00B548AD">
            <w:pPr>
              <w:tabs>
                <w:tab w:val="left" w:pos="608"/>
              </w:tabs>
              <w:spacing w:before="120" w:after="120" w:line="240" w:lineRule="auto"/>
              <w:ind w:left="-382" w:right="139"/>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(14)</w:t>
            </w:r>
          </w:p>
        </w:tc>
        <w:tc>
          <w:tcPr>
            <w:tcW w:w="963" w:type="dxa"/>
            <w:shd w:val="clear" w:color="auto" w:fill="auto"/>
            <w:vAlign w:val="center"/>
            <w:hideMark/>
          </w:tcPr>
          <w:p w:rsidR="00B548AD" w:rsidRPr="00B548AD" w:rsidRDefault="00B548AD" w:rsidP="00B548AD">
            <w:pPr>
              <w:spacing w:before="120" w:after="120" w:line="240" w:lineRule="auto"/>
              <w:ind w:left="-265" w:right="192"/>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(40)</w:t>
            </w:r>
          </w:p>
        </w:tc>
        <w:tc>
          <w:tcPr>
            <w:tcW w:w="963" w:type="dxa"/>
            <w:shd w:val="clear" w:color="auto" w:fill="auto"/>
            <w:vAlign w:val="center"/>
            <w:hideMark/>
          </w:tcPr>
          <w:p w:rsidR="00B548AD" w:rsidRPr="00B548AD" w:rsidRDefault="00B548AD" w:rsidP="00B548AD">
            <w:pPr>
              <w:spacing w:before="120" w:after="120" w:line="240" w:lineRule="auto"/>
              <w:ind w:left="-238" w:right="165"/>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(24)</w:t>
            </w:r>
          </w:p>
        </w:tc>
      </w:tr>
      <w:tr w:rsidR="00B548AD" w:rsidRPr="00B548AD" w:rsidTr="00B548AD">
        <w:trPr>
          <w:trHeight w:val="315"/>
          <w:jc w:val="center"/>
        </w:trPr>
        <w:tc>
          <w:tcPr>
            <w:tcW w:w="2565" w:type="dxa"/>
            <w:shd w:val="clear" w:color="auto" w:fill="auto"/>
            <w:vAlign w:val="center"/>
            <w:hideMark/>
          </w:tcPr>
          <w:p w:rsidR="00B548AD" w:rsidRPr="00B548AD" w:rsidRDefault="00B548AD" w:rsidP="00B548AD">
            <w:pPr>
              <w:spacing w:before="120" w:after="120" w:line="240" w:lineRule="auto"/>
              <w:jc w:val="both"/>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Collections</w:t>
            </w:r>
          </w:p>
        </w:tc>
        <w:tc>
          <w:tcPr>
            <w:tcW w:w="963" w:type="dxa"/>
            <w:shd w:val="clear" w:color="auto" w:fill="auto"/>
            <w:vAlign w:val="center"/>
            <w:hideMark/>
          </w:tcPr>
          <w:p w:rsidR="00B548AD" w:rsidRPr="00B548AD" w:rsidRDefault="00B548AD" w:rsidP="00B548AD">
            <w:pPr>
              <w:spacing w:before="120" w:after="120" w:line="240" w:lineRule="auto"/>
              <w:ind w:left="-346" w:right="193"/>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(13)</w:t>
            </w:r>
          </w:p>
        </w:tc>
        <w:tc>
          <w:tcPr>
            <w:tcW w:w="963" w:type="dxa"/>
            <w:shd w:val="clear" w:color="auto" w:fill="auto"/>
            <w:vAlign w:val="center"/>
            <w:hideMark/>
          </w:tcPr>
          <w:p w:rsidR="00B548AD" w:rsidRPr="00B548AD" w:rsidRDefault="00B548AD" w:rsidP="00B548AD">
            <w:pPr>
              <w:spacing w:before="120" w:after="120" w:line="240" w:lineRule="auto"/>
              <w:ind w:left="-229" w:right="156"/>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(12)</w:t>
            </w:r>
          </w:p>
        </w:tc>
        <w:tc>
          <w:tcPr>
            <w:tcW w:w="963" w:type="dxa"/>
            <w:shd w:val="clear" w:color="auto" w:fill="auto"/>
            <w:vAlign w:val="center"/>
            <w:hideMark/>
          </w:tcPr>
          <w:p w:rsidR="00B548AD" w:rsidRPr="00B548AD" w:rsidRDefault="00B548AD" w:rsidP="00B548AD">
            <w:pPr>
              <w:tabs>
                <w:tab w:val="left" w:pos="608"/>
              </w:tabs>
              <w:spacing w:before="120" w:after="120" w:line="240" w:lineRule="auto"/>
              <w:ind w:left="-382" w:right="139"/>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(19)</w:t>
            </w:r>
          </w:p>
        </w:tc>
        <w:tc>
          <w:tcPr>
            <w:tcW w:w="963" w:type="dxa"/>
            <w:shd w:val="clear" w:color="auto" w:fill="auto"/>
            <w:vAlign w:val="center"/>
            <w:hideMark/>
          </w:tcPr>
          <w:p w:rsidR="00B548AD" w:rsidRPr="00B548AD" w:rsidRDefault="00B548AD" w:rsidP="00B548AD">
            <w:pPr>
              <w:spacing w:before="120" w:after="120" w:line="240" w:lineRule="auto"/>
              <w:ind w:left="-265" w:right="192"/>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(27)</w:t>
            </w:r>
          </w:p>
        </w:tc>
        <w:tc>
          <w:tcPr>
            <w:tcW w:w="963" w:type="dxa"/>
            <w:shd w:val="clear" w:color="auto" w:fill="auto"/>
            <w:vAlign w:val="center"/>
            <w:hideMark/>
          </w:tcPr>
          <w:p w:rsidR="00B548AD" w:rsidRPr="00B548AD" w:rsidRDefault="00B548AD" w:rsidP="00B548AD">
            <w:pPr>
              <w:spacing w:before="120" w:after="120" w:line="240" w:lineRule="auto"/>
              <w:ind w:left="-238" w:right="165"/>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(32)</w:t>
            </w:r>
          </w:p>
        </w:tc>
      </w:tr>
      <w:tr w:rsidR="00B548AD" w:rsidRPr="00B548AD" w:rsidTr="00B548AD">
        <w:trPr>
          <w:trHeight w:val="315"/>
          <w:jc w:val="center"/>
        </w:trPr>
        <w:tc>
          <w:tcPr>
            <w:tcW w:w="2565" w:type="dxa"/>
            <w:shd w:val="clear" w:color="auto" w:fill="auto"/>
            <w:vAlign w:val="center"/>
            <w:hideMark/>
          </w:tcPr>
          <w:p w:rsidR="00B548AD" w:rsidRPr="00B548AD" w:rsidRDefault="00B548AD" w:rsidP="00B548AD">
            <w:pPr>
              <w:spacing w:before="120" w:after="120" w:line="240" w:lineRule="auto"/>
              <w:jc w:val="both"/>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Write Off</w:t>
            </w:r>
          </w:p>
        </w:tc>
        <w:tc>
          <w:tcPr>
            <w:tcW w:w="963" w:type="dxa"/>
            <w:shd w:val="clear" w:color="auto" w:fill="auto"/>
            <w:vAlign w:val="center"/>
            <w:hideMark/>
          </w:tcPr>
          <w:p w:rsidR="00B548AD" w:rsidRPr="00B548AD" w:rsidRDefault="00B548AD" w:rsidP="00B548AD">
            <w:pPr>
              <w:spacing w:before="120" w:after="120" w:line="240" w:lineRule="auto"/>
              <w:ind w:left="-346" w:right="193"/>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 </w:t>
            </w:r>
          </w:p>
        </w:tc>
        <w:tc>
          <w:tcPr>
            <w:tcW w:w="963" w:type="dxa"/>
            <w:shd w:val="clear" w:color="auto" w:fill="auto"/>
            <w:vAlign w:val="center"/>
            <w:hideMark/>
          </w:tcPr>
          <w:p w:rsidR="00B548AD" w:rsidRPr="00B548AD" w:rsidRDefault="00B548AD" w:rsidP="00B548AD">
            <w:pPr>
              <w:spacing w:before="120" w:after="120" w:line="240" w:lineRule="auto"/>
              <w:ind w:left="-229" w:right="156"/>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 </w:t>
            </w:r>
          </w:p>
        </w:tc>
        <w:tc>
          <w:tcPr>
            <w:tcW w:w="963" w:type="dxa"/>
            <w:shd w:val="clear" w:color="auto" w:fill="auto"/>
            <w:vAlign w:val="center"/>
            <w:hideMark/>
          </w:tcPr>
          <w:p w:rsidR="00B548AD" w:rsidRPr="00B548AD" w:rsidRDefault="00B548AD" w:rsidP="00B548AD">
            <w:pPr>
              <w:tabs>
                <w:tab w:val="left" w:pos="608"/>
              </w:tabs>
              <w:spacing w:before="120" w:after="120" w:line="240" w:lineRule="auto"/>
              <w:ind w:left="-382" w:right="139"/>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 </w:t>
            </w:r>
          </w:p>
        </w:tc>
        <w:tc>
          <w:tcPr>
            <w:tcW w:w="963" w:type="dxa"/>
            <w:shd w:val="clear" w:color="auto" w:fill="auto"/>
            <w:vAlign w:val="center"/>
            <w:hideMark/>
          </w:tcPr>
          <w:p w:rsidR="00B548AD" w:rsidRPr="00B548AD" w:rsidRDefault="00B548AD" w:rsidP="00B548AD">
            <w:pPr>
              <w:spacing w:before="120" w:after="120" w:line="240" w:lineRule="auto"/>
              <w:ind w:left="-265" w:right="192"/>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w:t>
            </w:r>
          </w:p>
        </w:tc>
        <w:tc>
          <w:tcPr>
            <w:tcW w:w="963" w:type="dxa"/>
            <w:shd w:val="clear" w:color="auto" w:fill="auto"/>
            <w:vAlign w:val="center"/>
            <w:hideMark/>
          </w:tcPr>
          <w:p w:rsidR="00B548AD" w:rsidRPr="00B548AD" w:rsidRDefault="00B548AD" w:rsidP="00B548AD">
            <w:pPr>
              <w:spacing w:before="120" w:after="120" w:line="240" w:lineRule="auto"/>
              <w:ind w:left="-238" w:right="165"/>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(10)</w:t>
            </w:r>
          </w:p>
        </w:tc>
      </w:tr>
      <w:tr w:rsidR="00B548AD" w:rsidRPr="00B548AD" w:rsidTr="00B548AD">
        <w:trPr>
          <w:trHeight w:val="315"/>
          <w:jc w:val="center"/>
        </w:trPr>
        <w:tc>
          <w:tcPr>
            <w:tcW w:w="2565" w:type="dxa"/>
            <w:shd w:val="clear" w:color="auto" w:fill="auto"/>
            <w:vAlign w:val="center"/>
            <w:hideMark/>
          </w:tcPr>
          <w:p w:rsidR="00B548AD" w:rsidRPr="00B548AD" w:rsidRDefault="00B548AD" w:rsidP="00B548AD">
            <w:pPr>
              <w:spacing w:before="120" w:after="120" w:line="240" w:lineRule="auto"/>
              <w:jc w:val="both"/>
              <w:rPr>
                <w:rFonts w:ascii="Times New Roman" w:eastAsia="Times New Roman" w:hAnsi="Times New Roman"/>
                <w:b/>
                <w:i/>
                <w:color w:val="000000"/>
                <w:sz w:val="24"/>
                <w:szCs w:val="24"/>
              </w:rPr>
            </w:pPr>
            <w:r w:rsidRPr="00B548AD">
              <w:rPr>
                <w:rFonts w:ascii="Times New Roman" w:eastAsia="Times New Roman" w:hAnsi="Times New Roman"/>
                <w:b/>
                <w:i/>
                <w:color w:val="000000"/>
                <w:sz w:val="24"/>
                <w:szCs w:val="24"/>
              </w:rPr>
              <w:t> Sub Total</w:t>
            </w:r>
          </w:p>
        </w:tc>
        <w:tc>
          <w:tcPr>
            <w:tcW w:w="963" w:type="dxa"/>
            <w:shd w:val="clear" w:color="auto" w:fill="auto"/>
            <w:vAlign w:val="center"/>
            <w:hideMark/>
          </w:tcPr>
          <w:p w:rsidR="00B548AD" w:rsidRPr="00B548AD" w:rsidRDefault="00B548AD" w:rsidP="00B548AD">
            <w:pPr>
              <w:spacing w:before="120" w:after="120" w:line="240" w:lineRule="auto"/>
              <w:ind w:left="-346" w:right="193"/>
              <w:jc w:val="right"/>
              <w:rPr>
                <w:rFonts w:ascii="Times New Roman" w:eastAsia="Times New Roman" w:hAnsi="Times New Roman"/>
                <w:b/>
                <w:i/>
                <w:color w:val="000000"/>
                <w:sz w:val="24"/>
                <w:szCs w:val="24"/>
              </w:rPr>
            </w:pPr>
            <w:r w:rsidRPr="00B548AD">
              <w:rPr>
                <w:rFonts w:ascii="Times New Roman" w:eastAsia="Times New Roman" w:hAnsi="Times New Roman"/>
                <w:b/>
                <w:i/>
                <w:color w:val="000000"/>
                <w:sz w:val="24"/>
                <w:szCs w:val="24"/>
              </w:rPr>
              <w:t>171</w:t>
            </w:r>
          </w:p>
        </w:tc>
        <w:tc>
          <w:tcPr>
            <w:tcW w:w="963" w:type="dxa"/>
            <w:shd w:val="clear" w:color="auto" w:fill="auto"/>
            <w:vAlign w:val="center"/>
            <w:hideMark/>
          </w:tcPr>
          <w:p w:rsidR="00B548AD" w:rsidRPr="00B548AD" w:rsidRDefault="00B548AD" w:rsidP="00B548AD">
            <w:pPr>
              <w:spacing w:before="120" w:after="120" w:line="240" w:lineRule="auto"/>
              <w:ind w:left="-229" w:right="156"/>
              <w:jc w:val="right"/>
              <w:rPr>
                <w:rFonts w:ascii="Times New Roman" w:eastAsia="Times New Roman" w:hAnsi="Times New Roman"/>
                <w:b/>
                <w:i/>
                <w:color w:val="000000"/>
                <w:sz w:val="24"/>
                <w:szCs w:val="24"/>
              </w:rPr>
            </w:pPr>
            <w:r w:rsidRPr="00B548AD">
              <w:rPr>
                <w:rFonts w:ascii="Times New Roman" w:eastAsia="Times New Roman" w:hAnsi="Times New Roman"/>
                <w:b/>
                <w:i/>
                <w:color w:val="000000"/>
                <w:sz w:val="24"/>
                <w:szCs w:val="24"/>
              </w:rPr>
              <w:t>179</w:t>
            </w:r>
          </w:p>
        </w:tc>
        <w:tc>
          <w:tcPr>
            <w:tcW w:w="963" w:type="dxa"/>
            <w:shd w:val="clear" w:color="auto" w:fill="auto"/>
            <w:vAlign w:val="center"/>
            <w:hideMark/>
          </w:tcPr>
          <w:p w:rsidR="00B548AD" w:rsidRPr="00B548AD" w:rsidRDefault="00B548AD" w:rsidP="00B548AD">
            <w:pPr>
              <w:tabs>
                <w:tab w:val="left" w:pos="608"/>
              </w:tabs>
              <w:spacing w:before="120" w:after="120" w:line="240" w:lineRule="auto"/>
              <w:ind w:left="-382" w:right="139"/>
              <w:jc w:val="right"/>
              <w:rPr>
                <w:rFonts w:ascii="Times New Roman" w:eastAsia="Times New Roman" w:hAnsi="Times New Roman"/>
                <w:b/>
                <w:i/>
                <w:color w:val="000000"/>
                <w:sz w:val="24"/>
                <w:szCs w:val="24"/>
              </w:rPr>
            </w:pPr>
            <w:r w:rsidRPr="00B548AD">
              <w:rPr>
                <w:rFonts w:ascii="Times New Roman" w:eastAsia="Times New Roman" w:hAnsi="Times New Roman"/>
                <w:b/>
                <w:i/>
                <w:color w:val="000000"/>
                <w:sz w:val="24"/>
                <w:szCs w:val="24"/>
              </w:rPr>
              <w:t>180</w:t>
            </w:r>
          </w:p>
        </w:tc>
        <w:tc>
          <w:tcPr>
            <w:tcW w:w="963" w:type="dxa"/>
            <w:shd w:val="clear" w:color="auto" w:fill="auto"/>
            <w:vAlign w:val="center"/>
            <w:hideMark/>
          </w:tcPr>
          <w:p w:rsidR="00B548AD" w:rsidRPr="00B548AD" w:rsidRDefault="00B548AD" w:rsidP="00B548AD">
            <w:pPr>
              <w:spacing w:before="120" w:after="120" w:line="240" w:lineRule="auto"/>
              <w:ind w:left="-265" w:right="192"/>
              <w:jc w:val="right"/>
              <w:rPr>
                <w:rFonts w:ascii="Times New Roman" w:eastAsia="Times New Roman" w:hAnsi="Times New Roman"/>
                <w:b/>
                <w:i/>
                <w:color w:val="000000"/>
                <w:sz w:val="24"/>
                <w:szCs w:val="24"/>
              </w:rPr>
            </w:pPr>
            <w:r w:rsidRPr="00B548AD">
              <w:rPr>
                <w:rFonts w:ascii="Times New Roman" w:eastAsia="Times New Roman" w:hAnsi="Times New Roman"/>
                <w:b/>
                <w:i/>
                <w:color w:val="000000"/>
                <w:sz w:val="24"/>
                <w:szCs w:val="24"/>
              </w:rPr>
              <w:t>222</w:t>
            </w:r>
          </w:p>
        </w:tc>
        <w:tc>
          <w:tcPr>
            <w:tcW w:w="963" w:type="dxa"/>
            <w:shd w:val="clear" w:color="auto" w:fill="auto"/>
            <w:vAlign w:val="center"/>
            <w:hideMark/>
          </w:tcPr>
          <w:p w:rsidR="00B548AD" w:rsidRPr="00B548AD" w:rsidRDefault="00B548AD" w:rsidP="00B548AD">
            <w:pPr>
              <w:spacing w:before="120" w:after="120" w:line="240" w:lineRule="auto"/>
              <w:ind w:left="-238" w:right="165"/>
              <w:jc w:val="right"/>
              <w:rPr>
                <w:rFonts w:ascii="Times New Roman" w:eastAsia="Times New Roman" w:hAnsi="Times New Roman"/>
                <w:b/>
                <w:i/>
                <w:color w:val="000000"/>
                <w:sz w:val="24"/>
                <w:szCs w:val="24"/>
              </w:rPr>
            </w:pPr>
            <w:r w:rsidRPr="00B548AD">
              <w:rPr>
                <w:rFonts w:ascii="Times New Roman" w:eastAsia="Times New Roman" w:hAnsi="Times New Roman"/>
                <w:b/>
                <w:i/>
                <w:color w:val="000000"/>
                <w:sz w:val="24"/>
                <w:szCs w:val="24"/>
              </w:rPr>
              <w:t>265</w:t>
            </w:r>
          </w:p>
        </w:tc>
      </w:tr>
      <w:tr w:rsidR="00B548AD" w:rsidRPr="00B548AD" w:rsidTr="00B548AD">
        <w:trPr>
          <w:trHeight w:val="315"/>
          <w:jc w:val="center"/>
        </w:trPr>
        <w:tc>
          <w:tcPr>
            <w:tcW w:w="2565" w:type="dxa"/>
            <w:shd w:val="clear" w:color="auto" w:fill="auto"/>
            <w:vAlign w:val="center"/>
            <w:hideMark/>
          </w:tcPr>
          <w:p w:rsidR="00B548AD" w:rsidRPr="00B548AD" w:rsidRDefault="00B548AD" w:rsidP="00B548AD">
            <w:pPr>
              <w:spacing w:before="120" w:after="120" w:line="240" w:lineRule="auto"/>
              <w:jc w:val="both"/>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New Debtors</w:t>
            </w:r>
          </w:p>
        </w:tc>
        <w:tc>
          <w:tcPr>
            <w:tcW w:w="963" w:type="dxa"/>
            <w:shd w:val="clear" w:color="auto" w:fill="auto"/>
            <w:vAlign w:val="center"/>
            <w:hideMark/>
          </w:tcPr>
          <w:p w:rsidR="00B548AD" w:rsidRPr="00B548AD" w:rsidRDefault="00B548AD" w:rsidP="00B548AD">
            <w:pPr>
              <w:spacing w:before="120" w:after="120" w:line="240" w:lineRule="auto"/>
              <w:ind w:left="-346" w:right="193"/>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25</w:t>
            </w:r>
          </w:p>
        </w:tc>
        <w:tc>
          <w:tcPr>
            <w:tcW w:w="963" w:type="dxa"/>
            <w:shd w:val="clear" w:color="auto" w:fill="auto"/>
            <w:vAlign w:val="center"/>
            <w:hideMark/>
          </w:tcPr>
          <w:p w:rsidR="00B548AD" w:rsidRPr="00B548AD" w:rsidRDefault="00B548AD" w:rsidP="00B548AD">
            <w:pPr>
              <w:spacing w:before="120" w:after="120" w:line="240" w:lineRule="auto"/>
              <w:ind w:left="-229" w:right="156"/>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34</w:t>
            </w:r>
          </w:p>
        </w:tc>
        <w:tc>
          <w:tcPr>
            <w:tcW w:w="963" w:type="dxa"/>
            <w:shd w:val="clear" w:color="auto" w:fill="auto"/>
            <w:vAlign w:val="center"/>
            <w:hideMark/>
          </w:tcPr>
          <w:p w:rsidR="00B548AD" w:rsidRPr="00B548AD" w:rsidRDefault="00B548AD" w:rsidP="00B548AD">
            <w:pPr>
              <w:tabs>
                <w:tab w:val="left" w:pos="608"/>
              </w:tabs>
              <w:spacing w:before="120" w:after="120" w:line="240" w:lineRule="auto"/>
              <w:ind w:left="-382" w:right="139"/>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110</w:t>
            </w:r>
          </w:p>
        </w:tc>
        <w:tc>
          <w:tcPr>
            <w:tcW w:w="963" w:type="dxa"/>
            <w:shd w:val="clear" w:color="auto" w:fill="auto"/>
            <w:vAlign w:val="center"/>
            <w:hideMark/>
          </w:tcPr>
          <w:p w:rsidR="00B548AD" w:rsidRPr="00B548AD" w:rsidRDefault="00B548AD" w:rsidP="00B548AD">
            <w:pPr>
              <w:spacing w:before="120" w:after="120" w:line="240" w:lineRule="auto"/>
              <w:ind w:left="-265" w:right="192"/>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109</w:t>
            </w:r>
          </w:p>
        </w:tc>
        <w:tc>
          <w:tcPr>
            <w:tcW w:w="963" w:type="dxa"/>
            <w:shd w:val="clear" w:color="auto" w:fill="auto"/>
            <w:vAlign w:val="center"/>
            <w:hideMark/>
          </w:tcPr>
          <w:p w:rsidR="00B548AD" w:rsidRPr="00B548AD" w:rsidRDefault="00B548AD" w:rsidP="00B548AD">
            <w:pPr>
              <w:spacing w:before="120" w:after="120" w:line="240" w:lineRule="auto"/>
              <w:ind w:left="-238" w:right="165"/>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175</w:t>
            </w:r>
          </w:p>
        </w:tc>
      </w:tr>
      <w:tr w:rsidR="00B548AD" w:rsidRPr="00B548AD" w:rsidTr="00B548AD">
        <w:trPr>
          <w:trHeight w:val="300"/>
          <w:jc w:val="center"/>
        </w:trPr>
        <w:tc>
          <w:tcPr>
            <w:tcW w:w="2565" w:type="dxa"/>
            <w:shd w:val="clear" w:color="auto" w:fill="auto"/>
            <w:vAlign w:val="center"/>
            <w:hideMark/>
          </w:tcPr>
          <w:p w:rsidR="00B548AD" w:rsidRPr="00B548AD" w:rsidRDefault="00B548AD" w:rsidP="00B548AD">
            <w:pPr>
              <w:spacing w:before="120" w:after="120" w:line="240" w:lineRule="auto"/>
              <w:jc w:val="both"/>
              <w:rPr>
                <w:rFonts w:ascii="Times New Roman" w:eastAsia="Times New Roman" w:hAnsi="Times New Roman"/>
                <w:b/>
                <w:color w:val="000000"/>
                <w:sz w:val="24"/>
                <w:szCs w:val="24"/>
              </w:rPr>
            </w:pPr>
            <w:r w:rsidRPr="00B548AD">
              <w:rPr>
                <w:rFonts w:ascii="Times New Roman" w:eastAsia="Times New Roman" w:hAnsi="Times New Roman"/>
                <w:b/>
                <w:color w:val="000000"/>
                <w:sz w:val="24"/>
                <w:szCs w:val="24"/>
              </w:rPr>
              <w:t>Balance 31 December</w:t>
            </w:r>
          </w:p>
        </w:tc>
        <w:tc>
          <w:tcPr>
            <w:tcW w:w="963" w:type="dxa"/>
            <w:shd w:val="clear" w:color="auto" w:fill="auto"/>
            <w:vAlign w:val="center"/>
            <w:hideMark/>
          </w:tcPr>
          <w:p w:rsidR="00B548AD" w:rsidRPr="00B548AD" w:rsidRDefault="00B548AD" w:rsidP="00B548AD">
            <w:pPr>
              <w:spacing w:before="120" w:after="120" w:line="240" w:lineRule="auto"/>
              <w:ind w:left="-346" w:right="193"/>
              <w:jc w:val="right"/>
              <w:rPr>
                <w:rFonts w:ascii="Times New Roman" w:eastAsia="Times New Roman" w:hAnsi="Times New Roman"/>
                <w:b/>
                <w:color w:val="000000"/>
                <w:sz w:val="24"/>
                <w:szCs w:val="24"/>
              </w:rPr>
            </w:pPr>
            <w:r w:rsidRPr="00B548AD">
              <w:rPr>
                <w:rFonts w:ascii="Times New Roman" w:eastAsia="Times New Roman" w:hAnsi="Times New Roman"/>
                <w:b/>
                <w:color w:val="000000"/>
                <w:sz w:val="24"/>
                <w:szCs w:val="24"/>
              </w:rPr>
              <w:t>196</w:t>
            </w:r>
          </w:p>
        </w:tc>
        <w:tc>
          <w:tcPr>
            <w:tcW w:w="963" w:type="dxa"/>
            <w:shd w:val="clear" w:color="auto" w:fill="auto"/>
            <w:vAlign w:val="center"/>
            <w:hideMark/>
          </w:tcPr>
          <w:p w:rsidR="00B548AD" w:rsidRPr="00B548AD" w:rsidRDefault="00B548AD" w:rsidP="00B548AD">
            <w:pPr>
              <w:spacing w:before="120" w:after="120" w:line="240" w:lineRule="auto"/>
              <w:ind w:left="-229" w:right="156"/>
              <w:jc w:val="right"/>
              <w:rPr>
                <w:rFonts w:ascii="Times New Roman" w:eastAsia="Times New Roman" w:hAnsi="Times New Roman"/>
                <w:b/>
                <w:color w:val="000000"/>
                <w:sz w:val="24"/>
                <w:szCs w:val="24"/>
              </w:rPr>
            </w:pPr>
            <w:r w:rsidRPr="00B548AD">
              <w:rPr>
                <w:rFonts w:ascii="Times New Roman" w:eastAsia="Times New Roman" w:hAnsi="Times New Roman"/>
                <w:b/>
                <w:color w:val="000000"/>
                <w:sz w:val="24"/>
                <w:szCs w:val="24"/>
              </w:rPr>
              <w:t>213</w:t>
            </w:r>
          </w:p>
        </w:tc>
        <w:tc>
          <w:tcPr>
            <w:tcW w:w="963" w:type="dxa"/>
            <w:shd w:val="clear" w:color="auto" w:fill="auto"/>
            <w:vAlign w:val="center"/>
            <w:hideMark/>
          </w:tcPr>
          <w:p w:rsidR="00B548AD" w:rsidRPr="00B548AD" w:rsidRDefault="00B548AD" w:rsidP="00B548AD">
            <w:pPr>
              <w:tabs>
                <w:tab w:val="left" w:pos="608"/>
              </w:tabs>
              <w:spacing w:before="120" w:after="120" w:line="240" w:lineRule="auto"/>
              <w:ind w:left="-382" w:right="139"/>
              <w:jc w:val="right"/>
              <w:rPr>
                <w:rFonts w:ascii="Times New Roman" w:eastAsia="Times New Roman" w:hAnsi="Times New Roman"/>
                <w:b/>
                <w:color w:val="000000"/>
                <w:sz w:val="24"/>
                <w:szCs w:val="24"/>
              </w:rPr>
            </w:pPr>
            <w:r w:rsidRPr="00B548AD">
              <w:rPr>
                <w:rFonts w:ascii="Times New Roman" w:eastAsia="Times New Roman" w:hAnsi="Times New Roman"/>
                <w:b/>
                <w:color w:val="000000"/>
                <w:sz w:val="24"/>
                <w:szCs w:val="24"/>
              </w:rPr>
              <w:t>290</w:t>
            </w:r>
          </w:p>
        </w:tc>
        <w:tc>
          <w:tcPr>
            <w:tcW w:w="963" w:type="dxa"/>
            <w:shd w:val="clear" w:color="auto" w:fill="auto"/>
            <w:vAlign w:val="center"/>
            <w:hideMark/>
          </w:tcPr>
          <w:p w:rsidR="00B548AD" w:rsidRPr="00B548AD" w:rsidRDefault="00B548AD" w:rsidP="00B548AD">
            <w:pPr>
              <w:spacing w:before="120" w:after="120" w:line="240" w:lineRule="auto"/>
              <w:ind w:left="-265" w:right="192"/>
              <w:jc w:val="right"/>
              <w:rPr>
                <w:rFonts w:ascii="Times New Roman" w:eastAsia="Times New Roman" w:hAnsi="Times New Roman"/>
                <w:b/>
                <w:color w:val="000000"/>
                <w:sz w:val="24"/>
                <w:szCs w:val="24"/>
              </w:rPr>
            </w:pPr>
            <w:r w:rsidRPr="00B548AD">
              <w:rPr>
                <w:rFonts w:ascii="Times New Roman" w:eastAsia="Times New Roman" w:hAnsi="Times New Roman"/>
                <w:b/>
                <w:color w:val="000000"/>
                <w:sz w:val="24"/>
                <w:szCs w:val="24"/>
              </w:rPr>
              <w:t>331</w:t>
            </w:r>
          </w:p>
        </w:tc>
        <w:tc>
          <w:tcPr>
            <w:tcW w:w="963" w:type="dxa"/>
            <w:shd w:val="clear" w:color="auto" w:fill="auto"/>
            <w:vAlign w:val="center"/>
            <w:hideMark/>
          </w:tcPr>
          <w:p w:rsidR="00B548AD" w:rsidRPr="00B548AD" w:rsidRDefault="00B548AD" w:rsidP="00B548AD">
            <w:pPr>
              <w:spacing w:before="120" w:after="120" w:line="240" w:lineRule="auto"/>
              <w:ind w:left="-238" w:right="165"/>
              <w:jc w:val="right"/>
              <w:rPr>
                <w:rFonts w:ascii="Times New Roman" w:eastAsia="Times New Roman" w:hAnsi="Times New Roman"/>
                <w:b/>
                <w:color w:val="000000"/>
                <w:sz w:val="24"/>
                <w:szCs w:val="24"/>
              </w:rPr>
            </w:pPr>
            <w:r w:rsidRPr="00B548AD">
              <w:rPr>
                <w:rFonts w:ascii="Times New Roman" w:eastAsia="Times New Roman" w:hAnsi="Times New Roman"/>
                <w:b/>
                <w:color w:val="000000"/>
                <w:sz w:val="24"/>
                <w:szCs w:val="24"/>
              </w:rPr>
              <w:t>440</w:t>
            </w:r>
          </w:p>
        </w:tc>
      </w:tr>
    </w:tbl>
    <w:p w:rsidR="00B548AD" w:rsidRPr="00B548AD" w:rsidRDefault="00B548AD" w:rsidP="00B548AD">
      <w:pPr>
        <w:pBdr>
          <w:bottom w:val="single" w:sz="4" w:space="1" w:color="auto"/>
        </w:pBdr>
        <w:spacing w:after="0" w:line="240" w:lineRule="auto"/>
        <w:jc w:val="both"/>
        <w:rPr>
          <w:rFonts w:ascii="Times New Roman" w:hAnsi="Times New Roman"/>
          <w:b/>
          <w:i/>
          <w:sz w:val="24"/>
          <w:szCs w:val="24"/>
        </w:rPr>
      </w:pPr>
    </w:p>
    <w:p w:rsidR="00B548AD" w:rsidRPr="00B548AD" w:rsidRDefault="00B548AD" w:rsidP="00B548AD">
      <w:pPr>
        <w:spacing w:after="0" w:line="240" w:lineRule="auto"/>
        <w:jc w:val="both"/>
        <w:rPr>
          <w:rFonts w:ascii="Times New Roman" w:hAnsi="Times New Roman"/>
          <w:i/>
          <w:sz w:val="20"/>
          <w:szCs w:val="20"/>
        </w:rPr>
      </w:pPr>
      <w:r w:rsidRPr="00B548AD">
        <w:rPr>
          <w:rFonts w:ascii="Times New Roman" w:hAnsi="Times New Roman"/>
          <w:i/>
          <w:sz w:val="20"/>
          <w:szCs w:val="20"/>
        </w:rPr>
        <w:t xml:space="preserve">Source: Return of Arrears of Revenue and Past Audit Reports </w:t>
      </w:r>
    </w:p>
    <w:p w:rsidR="00B548AD" w:rsidRPr="00B548AD" w:rsidRDefault="00B548AD" w:rsidP="00B548AD">
      <w:pPr>
        <w:spacing w:after="0" w:line="240" w:lineRule="auto"/>
        <w:jc w:val="both"/>
        <w:rPr>
          <w:rFonts w:ascii="Times New Roman" w:hAnsi="Times New Roman"/>
          <w:i/>
          <w:sz w:val="24"/>
          <w:szCs w:val="24"/>
        </w:rPr>
      </w:pPr>
    </w:p>
    <w:p w:rsidR="00B548AD" w:rsidRPr="00B548AD" w:rsidRDefault="00B548AD" w:rsidP="00B548AD">
      <w:pPr>
        <w:spacing w:after="0" w:line="240" w:lineRule="auto"/>
        <w:jc w:val="both"/>
        <w:rPr>
          <w:rFonts w:ascii="Times New Roman" w:hAnsi="Times New Roman"/>
          <w:sz w:val="24"/>
          <w:szCs w:val="24"/>
        </w:rPr>
      </w:pPr>
      <w:r w:rsidRPr="00B548AD">
        <w:rPr>
          <w:rFonts w:ascii="Times New Roman" w:hAnsi="Times New Roman"/>
          <w:sz w:val="24"/>
          <w:szCs w:val="24"/>
        </w:rPr>
        <w:t xml:space="preserve">An ageing analysis of arrears of revenue of Rs 438 million as at 31 December 2014 obtained from the Valuation Section of RGD showed long outstanding debtors as </w:t>
      </w:r>
      <w:r w:rsidR="007D6F61">
        <w:rPr>
          <w:rFonts w:ascii="Times New Roman" w:hAnsi="Times New Roman"/>
          <w:sz w:val="24"/>
          <w:szCs w:val="24"/>
        </w:rPr>
        <w:t xml:space="preserve">shown </w:t>
      </w:r>
      <w:r w:rsidRPr="00B548AD">
        <w:rPr>
          <w:rFonts w:ascii="Times New Roman" w:hAnsi="Times New Roman"/>
          <w:sz w:val="24"/>
          <w:szCs w:val="24"/>
        </w:rPr>
        <w:t>in Table 6-3.</w:t>
      </w:r>
    </w:p>
    <w:p w:rsidR="00B548AD" w:rsidRPr="00B548AD" w:rsidRDefault="00B548AD" w:rsidP="00B548AD">
      <w:pPr>
        <w:spacing w:after="0" w:line="240" w:lineRule="auto"/>
        <w:jc w:val="both"/>
        <w:rPr>
          <w:rFonts w:ascii="Times New Roman" w:hAnsi="Times New Roman"/>
          <w:sz w:val="24"/>
          <w:szCs w:val="24"/>
        </w:rPr>
      </w:pPr>
    </w:p>
    <w:p w:rsidR="00B548AD" w:rsidRPr="00B548AD" w:rsidRDefault="003917CC" w:rsidP="00B548AD">
      <w:pPr>
        <w:spacing w:after="0" w:line="240" w:lineRule="auto"/>
        <w:jc w:val="center"/>
        <w:rPr>
          <w:rFonts w:ascii="Times New Roman" w:hAnsi="Times New Roman"/>
          <w:i/>
          <w:sz w:val="24"/>
          <w:szCs w:val="24"/>
        </w:rPr>
      </w:pPr>
      <w:r>
        <w:rPr>
          <w:rFonts w:ascii="Times New Roman" w:hAnsi="Times New Roman"/>
          <w:i/>
          <w:sz w:val="24"/>
          <w:szCs w:val="24"/>
        </w:rPr>
        <w:t xml:space="preserve">Table 6-3 </w:t>
      </w:r>
      <w:r w:rsidR="00B548AD" w:rsidRPr="00B548AD">
        <w:rPr>
          <w:rFonts w:ascii="Times New Roman" w:hAnsi="Times New Roman"/>
          <w:i/>
          <w:sz w:val="24"/>
          <w:szCs w:val="24"/>
        </w:rPr>
        <w:t>Ageing Analysis of Arrears of Revenue</w:t>
      </w:r>
    </w:p>
    <w:p w:rsidR="00B548AD" w:rsidRPr="00B548AD" w:rsidRDefault="00B548AD" w:rsidP="00B548AD">
      <w:pPr>
        <w:spacing w:after="0" w:line="240" w:lineRule="auto"/>
        <w:jc w:val="center"/>
        <w:rPr>
          <w:rFonts w:ascii="Times New Roman" w:hAnsi="Times New Roman"/>
          <w:i/>
          <w:sz w:val="24"/>
          <w:szCs w:val="24"/>
        </w:rPr>
      </w:pPr>
    </w:p>
    <w:p w:rsidR="00B548AD" w:rsidRPr="00B548AD" w:rsidRDefault="00B548AD" w:rsidP="00B548AD">
      <w:pPr>
        <w:pBdr>
          <w:top w:val="single" w:sz="4" w:space="1" w:color="auto"/>
        </w:pBdr>
        <w:spacing w:after="0" w:line="240" w:lineRule="auto"/>
        <w:jc w:val="center"/>
        <w:rPr>
          <w:rFonts w:ascii="Times New Roman" w:hAnsi="Times New Roman"/>
          <w:i/>
          <w:sz w:val="24"/>
          <w:szCs w:val="24"/>
        </w:rPr>
      </w:pPr>
    </w:p>
    <w:tbl>
      <w:tblPr>
        <w:tblStyle w:val="TableGrid"/>
        <w:tblW w:w="88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8"/>
        <w:gridCol w:w="1204"/>
        <w:gridCol w:w="877"/>
        <w:gridCol w:w="877"/>
        <w:gridCol w:w="877"/>
        <w:gridCol w:w="877"/>
        <w:gridCol w:w="877"/>
        <w:gridCol w:w="877"/>
      </w:tblGrid>
      <w:tr w:rsidR="00B548AD" w:rsidRPr="00B548AD" w:rsidTr="00B548AD">
        <w:trPr>
          <w:trHeight w:val="432"/>
          <w:jc w:val="center"/>
        </w:trPr>
        <w:tc>
          <w:tcPr>
            <w:tcW w:w="2368" w:type="dxa"/>
          </w:tcPr>
          <w:p w:rsidR="00B548AD" w:rsidRPr="00B548AD" w:rsidRDefault="00B548AD" w:rsidP="00B548AD">
            <w:pPr>
              <w:rPr>
                <w:rFonts w:ascii="Times New Roman" w:hAnsi="Times New Roman"/>
                <w:b/>
                <w:i/>
                <w:szCs w:val="22"/>
              </w:rPr>
            </w:pPr>
          </w:p>
        </w:tc>
        <w:tc>
          <w:tcPr>
            <w:tcW w:w="1204" w:type="dxa"/>
          </w:tcPr>
          <w:p w:rsidR="00B548AD" w:rsidRPr="00B548AD" w:rsidRDefault="00B548AD" w:rsidP="00B548AD">
            <w:pPr>
              <w:ind w:left="-103" w:right="-153"/>
              <w:jc w:val="center"/>
              <w:rPr>
                <w:rFonts w:ascii="Times New Roman" w:hAnsi="Times New Roman"/>
                <w:b/>
                <w:szCs w:val="22"/>
              </w:rPr>
            </w:pPr>
            <w:r w:rsidRPr="00B548AD">
              <w:rPr>
                <w:rFonts w:ascii="Times New Roman" w:hAnsi="Times New Roman"/>
                <w:b/>
                <w:szCs w:val="22"/>
              </w:rPr>
              <w:t xml:space="preserve">To Dec 2009 </w:t>
            </w:r>
          </w:p>
          <w:p w:rsidR="00B548AD" w:rsidRPr="00B548AD" w:rsidRDefault="00B548AD" w:rsidP="00B548AD">
            <w:pPr>
              <w:ind w:left="-103" w:right="-153"/>
              <w:jc w:val="center"/>
              <w:rPr>
                <w:rFonts w:ascii="Times New Roman" w:hAnsi="Times New Roman"/>
                <w:b/>
                <w:szCs w:val="22"/>
              </w:rPr>
            </w:pPr>
            <w:r w:rsidRPr="00B548AD">
              <w:rPr>
                <w:rFonts w:ascii="Times New Roman" w:hAnsi="Times New Roman"/>
                <w:b/>
                <w:szCs w:val="22"/>
              </w:rPr>
              <w:t>Rs</w:t>
            </w:r>
          </w:p>
          <w:p w:rsidR="00B548AD" w:rsidRPr="00B548AD" w:rsidRDefault="00B548AD" w:rsidP="00B548AD">
            <w:pPr>
              <w:ind w:left="-103" w:right="-153"/>
              <w:jc w:val="center"/>
              <w:rPr>
                <w:rFonts w:ascii="Times New Roman" w:hAnsi="Times New Roman"/>
                <w:b/>
                <w:szCs w:val="22"/>
              </w:rPr>
            </w:pPr>
            <w:r w:rsidRPr="00B548AD">
              <w:rPr>
                <w:rFonts w:ascii="Times New Roman" w:hAnsi="Times New Roman"/>
                <w:b/>
                <w:szCs w:val="22"/>
              </w:rPr>
              <w:t xml:space="preserve"> million</w:t>
            </w:r>
          </w:p>
        </w:tc>
        <w:tc>
          <w:tcPr>
            <w:tcW w:w="877" w:type="dxa"/>
          </w:tcPr>
          <w:p w:rsidR="00B548AD" w:rsidRPr="00B548AD" w:rsidRDefault="00B548AD" w:rsidP="00B548AD">
            <w:pPr>
              <w:jc w:val="center"/>
              <w:rPr>
                <w:rFonts w:ascii="Times New Roman" w:hAnsi="Times New Roman"/>
                <w:b/>
                <w:szCs w:val="22"/>
              </w:rPr>
            </w:pPr>
            <w:r w:rsidRPr="00B548AD">
              <w:rPr>
                <w:rFonts w:ascii="Times New Roman" w:hAnsi="Times New Roman"/>
                <w:b/>
                <w:szCs w:val="22"/>
              </w:rPr>
              <w:t xml:space="preserve">2010 </w:t>
            </w:r>
          </w:p>
          <w:p w:rsidR="00B548AD" w:rsidRPr="00B548AD" w:rsidRDefault="00B548AD" w:rsidP="00B548AD">
            <w:pPr>
              <w:jc w:val="center"/>
              <w:rPr>
                <w:rFonts w:ascii="Times New Roman" w:hAnsi="Times New Roman"/>
                <w:b/>
                <w:szCs w:val="22"/>
              </w:rPr>
            </w:pPr>
            <w:r w:rsidRPr="00B548AD">
              <w:rPr>
                <w:rFonts w:ascii="Times New Roman" w:hAnsi="Times New Roman"/>
                <w:b/>
                <w:szCs w:val="22"/>
              </w:rPr>
              <w:t>Rs</w:t>
            </w:r>
          </w:p>
          <w:p w:rsidR="00B548AD" w:rsidRPr="00B548AD" w:rsidRDefault="00B548AD" w:rsidP="00B548AD">
            <w:pPr>
              <w:jc w:val="center"/>
              <w:rPr>
                <w:rFonts w:ascii="Times New Roman" w:hAnsi="Times New Roman"/>
                <w:b/>
                <w:szCs w:val="22"/>
              </w:rPr>
            </w:pPr>
            <w:r w:rsidRPr="00B548AD">
              <w:rPr>
                <w:rFonts w:ascii="Times New Roman" w:hAnsi="Times New Roman"/>
                <w:b/>
                <w:szCs w:val="22"/>
              </w:rPr>
              <w:t>million</w:t>
            </w:r>
          </w:p>
        </w:tc>
        <w:tc>
          <w:tcPr>
            <w:tcW w:w="877" w:type="dxa"/>
          </w:tcPr>
          <w:p w:rsidR="00B548AD" w:rsidRPr="00B548AD" w:rsidRDefault="00B548AD" w:rsidP="00B548AD">
            <w:pPr>
              <w:jc w:val="center"/>
              <w:rPr>
                <w:rFonts w:ascii="Times New Roman" w:hAnsi="Times New Roman"/>
                <w:b/>
                <w:szCs w:val="22"/>
              </w:rPr>
            </w:pPr>
            <w:r w:rsidRPr="00B548AD">
              <w:rPr>
                <w:rFonts w:ascii="Times New Roman" w:hAnsi="Times New Roman"/>
                <w:b/>
                <w:szCs w:val="22"/>
              </w:rPr>
              <w:t>2011 Rs</w:t>
            </w:r>
          </w:p>
          <w:p w:rsidR="00B548AD" w:rsidRPr="00B548AD" w:rsidRDefault="00B548AD" w:rsidP="00B548AD">
            <w:pPr>
              <w:jc w:val="center"/>
              <w:rPr>
                <w:rFonts w:ascii="Times New Roman" w:hAnsi="Times New Roman"/>
                <w:b/>
                <w:szCs w:val="22"/>
              </w:rPr>
            </w:pPr>
            <w:r w:rsidRPr="00B548AD">
              <w:rPr>
                <w:rFonts w:ascii="Times New Roman" w:hAnsi="Times New Roman"/>
                <w:b/>
                <w:szCs w:val="22"/>
              </w:rPr>
              <w:t>million</w:t>
            </w:r>
          </w:p>
        </w:tc>
        <w:tc>
          <w:tcPr>
            <w:tcW w:w="0" w:type="auto"/>
          </w:tcPr>
          <w:p w:rsidR="00B548AD" w:rsidRPr="00B548AD" w:rsidRDefault="00B548AD" w:rsidP="00B548AD">
            <w:pPr>
              <w:jc w:val="center"/>
              <w:rPr>
                <w:rFonts w:ascii="Times New Roman" w:hAnsi="Times New Roman"/>
                <w:b/>
                <w:szCs w:val="22"/>
              </w:rPr>
            </w:pPr>
            <w:r w:rsidRPr="00B548AD">
              <w:rPr>
                <w:rFonts w:ascii="Times New Roman" w:hAnsi="Times New Roman"/>
                <w:b/>
                <w:szCs w:val="22"/>
              </w:rPr>
              <w:t xml:space="preserve">2012 </w:t>
            </w:r>
          </w:p>
          <w:p w:rsidR="00B548AD" w:rsidRPr="00B548AD" w:rsidRDefault="00B548AD" w:rsidP="00B548AD">
            <w:pPr>
              <w:jc w:val="center"/>
              <w:rPr>
                <w:rFonts w:ascii="Times New Roman" w:hAnsi="Times New Roman"/>
                <w:b/>
                <w:szCs w:val="22"/>
              </w:rPr>
            </w:pPr>
            <w:r w:rsidRPr="00B548AD">
              <w:rPr>
                <w:rFonts w:ascii="Times New Roman" w:hAnsi="Times New Roman"/>
                <w:b/>
                <w:szCs w:val="22"/>
              </w:rPr>
              <w:t>Rs million</w:t>
            </w:r>
          </w:p>
        </w:tc>
        <w:tc>
          <w:tcPr>
            <w:tcW w:w="877" w:type="dxa"/>
          </w:tcPr>
          <w:p w:rsidR="00B548AD" w:rsidRPr="00B548AD" w:rsidRDefault="00B548AD" w:rsidP="00B548AD">
            <w:pPr>
              <w:jc w:val="center"/>
              <w:rPr>
                <w:rFonts w:ascii="Times New Roman" w:hAnsi="Times New Roman"/>
                <w:b/>
                <w:szCs w:val="22"/>
              </w:rPr>
            </w:pPr>
            <w:r w:rsidRPr="00B548AD">
              <w:rPr>
                <w:rFonts w:ascii="Times New Roman" w:hAnsi="Times New Roman"/>
                <w:b/>
                <w:szCs w:val="22"/>
              </w:rPr>
              <w:t xml:space="preserve">2013 </w:t>
            </w:r>
          </w:p>
          <w:p w:rsidR="00B548AD" w:rsidRPr="00B548AD" w:rsidRDefault="00B548AD" w:rsidP="00B548AD">
            <w:pPr>
              <w:jc w:val="center"/>
              <w:rPr>
                <w:rFonts w:ascii="Times New Roman" w:hAnsi="Times New Roman"/>
                <w:b/>
                <w:szCs w:val="22"/>
              </w:rPr>
            </w:pPr>
            <w:r w:rsidRPr="00B548AD">
              <w:rPr>
                <w:rFonts w:ascii="Times New Roman" w:hAnsi="Times New Roman"/>
                <w:b/>
                <w:szCs w:val="22"/>
              </w:rPr>
              <w:t>Rs million</w:t>
            </w:r>
          </w:p>
        </w:tc>
        <w:tc>
          <w:tcPr>
            <w:tcW w:w="877" w:type="dxa"/>
          </w:tcPr>
          <w:p w:rsidR="00B548AD" w:rsidRPr="00B548AD" w:rsidRDefault="00B548AD" w:rsidP="00B548AD">
            <w:pPr>
              <w:jc w:val="center"/>
              <w:rPr>
                <w:rFonts w:ascii="Times New Roman" w:hAnsi="Times New Roman"/>
                <w:b/>
                <w:szCs w:val="22"/>
              </w:rPr>
            </w:pPr>
            <w:r w:rsidRPr="00B548AD">
              <w:rPr>
                <w:rFonts w:ascii="Times New Roman" w:hAnsi="Times New Roman"/>
                <w:b/>
                <w:szCs w:val="22"/>
              </w:rPr>
              <w:t xml:space="preserve">2014 </w:t>
            </w:r>
          </w:p>
          <w:p w:rsidR="00B548AD" w:rsidRPr="00B548AD" w:rsidRDefault="00B548AD" w:rsidP="00B548AD">
            <w:pPr>
              <w:jc w:val="center"/>
              <w:rPr>
                <w:rFonts w:ascii="Times New Roman" w:hAnsi="Times New Roman"/>
                <w:b/>
                <w:szCs w:val="22"/>
              </w:rPr>
            </w:pPr>
            <w:r w:rsidRPr="00B548AD">
              <w:rPr>
                <w:rFonts w:ascii="Times New Roman" w:hAnsi="Times New Roman"/>
                <w:b/>
                <w:szCs w:val="22"/>
              </w:rPr>
              <w:t>Rs million</w:t>
            </w:r>
          </w:p>
        </w:tc>
        <w:tc>
          <w:tcPr>
            <w:tcW w:w="877" w:type="dxa"/>
          </w:tcPr>
          <w:p w:rsidR="00B548AD" w:rsidRPr="00B548AD" w:rsidRDefault="00B548AD" w:rsidP="00B548AD">
            <w:pPr>
              <w:jc w:val="center"/>
              <w:rPr>
                <w:rFonts w:ascii="Times New Roman" w:hAnsi="Times New Roman"/>
                <w:b/>
                <w:szCs w:val="22"/>
              </w:rPr>
            </w:pPr>
            <w:r w:rsidRPr="00B548AD">
              <w:rPr>
                <w:rFonts w:ascii="Times New Roman" w:hAnsi="Times New Roman"/>
                <w:b/>
                <w:szCs w:val="22"/>
              </w:rPr>
              <w:t xml:space="preserve">Total </w:t>
            </w:r>
          </w:p>
          <w:p w:rsidR="00B548AD" w:rsidRPr="00B548AD" w:rsidRDefault="00B548AD" w:rsidP="00B548AD">
            <w:pPr>
              <w:jc w:val="center"/>
              <w:rPr>
                <w:rFonts w:ascii="Times New Roman" w:hAnsi="Times New Roman"/>
                <w:b/>
                <w:szCs w:val="22"/>
              </w:rPr>
            </w:pPr>
            <w:r w:rsidRPr="00B548AD">
              <w:rPr>
                <w:rFonts w:ascii="Times New Roman" w:hAnsi="Times New Roman"/>
                <w:b/>
                <w:szCs w:val="22"/>
              </w:rPr>
              <w:t>Rs million</w:t>
            </w:r>
          </w:p>
        </w:tc>
      </w:tr>
      <w:tr w:rsidR="00B548AD" w:rsidRPr="00B548AD" w:rsidTr="00B548AD">
        <w:trPr>
          <w:trHeight w:hRule="exact" w:val="432"/>
          <w:jc w:val="center"/>
        </w:trPr>
        <w:tc>
          <w:tcPr>
            <w:tcW w:w="2368" w:type="dxa"/>
          </w:tcPr>
          <w:p w:rsidR="00B548AD" w:rsidRPr="00B548AD" w:rsidRDefault="00B548AD" w:rsidP="00B548AD">
            <w:pPr>
              <w:rPr>
                <w:rFonts w:ascii="Times New Roman" w:hAnsi="Times New Roman"/>
                <w:b/>
                <w:i/>
                <w:sz w:val="24"/>
                <w:szCs w:val="24"/>
              </w:rPr>
            </w:pPr>
            <w:r w:rsidRPr="00B548AD">
              <w:rPr>
                <w:rFonts w:ascii="Times New Roman" w:eastAsia="Times New Roman" w:hAnsi="Times New Roman"/>
                <w:color w:val="000000"/>
                <w:sz w:val="24"/>
                <w:szCs w:val="24"/>
              </w:rPr>
              <w:t>Registration Duty</w:t>
            </w:r>
          </w:p>
        </w:tc>
        <w:tc>
          <w:tcPr>
            <w:tcW w:w="1204" w:type="dxa"/>
          </w:tcPr>
          <w:p w:rsidR="00B548AD" w:rsidRPr="00B548AD" w:rsidRDefault="00B548AD" w:rsidP="00B548AD">
            <w:pPr>
              <w:spacing w:before="120" w:after="120"/>
              <w:ind w:left="-322" w:right="230"/>
              <w:jc w:val="right"/>
              <w:rPr>
                <w:rFonts w:ascii="Times New Roman" w:hAnsi="Times New Roman"/>
                <w:sz w:val="24"/>
                <w:szCs w:val="24"/>
              </w:rPr>
            </w:pPr>
            <w:r w:rsidRPr="00B548AD">
              <w:rPr>
                <w:rFonts w:ascii="Times New Roman" w:hAnsi="Times New Roman"/>
                <w:sz w:val="24"/>
                <w:szCs w:val="24"/>
              </w:rPr>
              <w:t>52.5</w:t>
            </w:r>
          </w:p>
        </w:tc>
        <w:tc>
          <w:tcPr>
            <w:tcW w:w="877" w:type="dxa"/>
          </w:tcPr>
          <w:p w:rsidR="00B548AD" w:rsidRPr="00B548AD" w:rsidRDefault="00B548AD" w:rsidP="00B548AD">
            <w:pPr>
              <w:spacing w:before="120" w:after="120"/>
              <w:ind w:left="-266" w:right="107"/>
              <w:jc w:val="right"/>
              <w:rPr>
                <w:rFonts w:ascii="Times New Roman" w:hAnsi="Times New Roman"/>
                <w:sz w:val="24"/>
                <w:szCs w:val="24"/>
              </w:rPr>
            </w:pPr>
            <w:r w:rsidRPr="00B548AD">
              <w:rPr>
                <w:rFonts w:ascii="Times New Roman" w:hAnsi="Times New Roman"/>
                <w:sz w:val="24"/>
                <w:szCs w:val="24"/>
              </w:rPr>
              <w:t>3.5</w:t>
            </w:r>
          </w:p>
        </w:tc>
        <w:tc>
          <w:tcPr>
            <w:tcW w:w="877" w:type="dxa"/>
          </w:tcPr>
          <w:p w:rsidR="00B548AD" w:rsidRPr="00B548AD" w:rsidRDefault="00B548AD" w:rsidP="00B548AD">
            <w:pPr>
              <w:spacing w:before="120" w:after="120"/>
              <w:ind w:left="-333" w:right="174"/>
              <w:jc w:val="right"/>
              <w:rPr>
                <w:rFonts w:ascii="Times New Roman" w:hAnsi="Times New Roman"/>
                <w:sz w:val="24"/>
                <w:szCs w:val="24"/>
              </w:rPr>
            </w:pPr>
            <w:r w:rsidRPr="00B548AD">
              <w:rPr>
                <w:rFonts w:ascii="Times New Roman" w:hAnsi="Times New Roman"/>
                <w:sz w:val="24"/>
                <w:szCs w:val="24"/>
              </w:rPr>
              <w:t>3.1</w:t>
            </w:r>
          </w:p>
        </w:tc>
        <w:tc>
          <w:tcPr>
            <w:tcW w:w="0" w:type="auto"/>
          </w:tcPr>
          <w:p w:rsidR="00B548AD" w:rsidRPr="00B548AD" w:rsidRDefault="00B548AD" w:rsidP="00B548AD">
            <w:pPr>
              <w:spacing w:before="120" w:after="120"/>
              <w:ind w:left="-310" w:right="151"/>
              <w:jc w:val="right"/>
              <w:rPr>
                <w:rFonts w:ascii="Times New Roman" w:hAnsi="Times New Roman"/>
                <w:sz w:val="24"/>
                <w:szCs w:val="24"/>
              </w:rPr>
            </w:pPr>
            <w:r w:rsidRPr="00B548AD">
              <w:rPr>
                <w:rFonts w:ascii="Times New Roman" w:hAnsi="Times New Roman"/>
                <w:sz w:val="24"/>
                <w:szCs w:val="24"/>
              </w:rPr>
              <w:t>9.0</w:t>
            </w:r>
          </w:p>
        </w:tc>
        <w:tc>
          <w:tcPr>
            <w:tcW w:w="877" w:type="dxa"/>
          </w:tcPr>
          <w:p w:rsidR="00B548AD" w:rsidRPr="00B548AD" w:rsidRDefault="00B548AD" w:rsidP="00B548AD">
            <w:pPr>
              <w:spacing w:before="120" w:after="120"/>
              <w:ind w:left="-197" w:right="38"/>
              <w:jc w:val="right"/>
              <w:rPr>
                <w:rFonts w:ascii="Times New Roman" w:hAnsi="Times New Roman"/>
                <w:sz w:val="24"/>
                <w:szCs w:val="24"/>
              </w:rPr>
            </w:pPr>
            <w:r w:rsidRPr="00B548AD">
              <w:rPr>
                <w:rFonts w:ascii="Times New Roman" w:hAnsi="Times New Roman"/>
                <w:sz w:val="24"/>
                <w:szCs w:val="24"/>
              </w:rPr>
              <w:t>21.0</w:t>
            </w:r>
          </w:p>
        </w:tc>
        <w:tc>
          <w:tcPr>
            <w:tcW w:w="877" w:type="dxa"/>
          </w:tcPr>
          <w:p w:rsidR="00B548AD" w:rsidRPr="00B548AD" w:rsidRDefault="00B548AD" w:rsidP="00B548AD">
            <w:pPr>
              <w:spacing w:before="120" w:after="120"/>
              <w:ind w:left="-264" w:right="105"/>
              <w:jc w:val="right"/>
              <w:rPr>
                <w:rFonts w:ascii="Times New Roman" w:hAnsi="Times New Roman"/>
                <w:sz w:val="24"/>
                <w:szCs w:val="24"/>
              </w:rPr>
            </w:pPr>
            <w:r w:rsidRPr="00B548AD">
              <w:rPr>
                <w:rFonts w:ascii="Times New Roman" w:hAnsi="Times New Roman"/>
                <w:sz w:val="24"/>
                <w:szCs w:val="24"/>
              </w:rPr>
              <w:t>71.6</w:t>
            </w:r>
          </w:p>
        </w:tc>
        <w:tc>
          <w:tcPr>
            <w:tcW w:w="877" w:type="dxa"/>
          </w:tcPr>
          <w:p w:rsidR="00B548AD" w:rsidRPr="00B548AD" w:rsidRDefault="00B548AD" w:rsidP="00B548AD">
            <w:pPr>
              <w:spacing w:before="120" w:after="120"/>
              <w:ind w:left="-264" w:right="105"/>
              <w:jc w:val="right"/>
              <w:rPr>
                <w:rFonts w:ascii="Times New Roman" w:hAnsi="Times New Roman"/>
                <w:sz w:val="24"/>
                <w:szCs w:val="24"/>
              </w:rPr>
            </w:pPr>
            <w:r w:rsidRPr="00B548AD">
              <w:rPr>
                <w:rFonts w:ascii="Times New Roman" w:hAnsi="Times New Roman"/>
                <w:sz w:val="24"/>
                <w:szCs w:val="24"/>
              </w:rPr>
              <w:t>160.7</w:t>
            </w:r>
          </w:p>
        </w:tc>
      </w:tr>
      <w:tr w:rsidR="00B548AD" w:rsidRPr="00B548AD" w:rsidTr="00B548AD">
        <w:trPr>
          <w:trHeight w:hRule="exact" w:val="432"/>
          <w:jc w:val="center"/>
        </w:trPr>
        <w:tc>
          <w:tcPr>
            <w:tcW w:w="2368" w:type="dxa"/>
          </w:tcPr>
          <w:p w:rsidR="00B548AD" w:rsidRPr="00B548AD" w:rsidRDefault="00B548AD" w:rsidP="00B548AD">
            <w:pPr>
              <w:spacing w:before="120" w:after="120"/>
              <w:rPr>
                <w:rFonts w:ascii="Times New Roman" w:hAnsi="Times New Roman"/>
                <w:b/>
                <w:i/>
                <w:sz w:val="24"/>
                <w:szCs w:val="24"/>
              </w:rPr>
            </w:pPr>
            <w:r w:rsidRPr="00B548AD">
              <w:rPr>
                <w:rFonts w:ascii="Times New Roman" w:eastAsia="Times New Roman" w:hAnsi="Times New Roman"/>
                <w:color w:val="000000"/>
                <w:sz w:val="24"/>
                <w:szCs w:val="24"/>
              </w:rPr>
              <w:t>Land Transfer Tax</w:t>
            </w:r>
          </w:p>
        </w:tc>
        <w:tc>
          <w:tcPr>
            <w:tcW w:w="1204" w:type="dxa"/>
          </w:tcPr>
          <w:p w:rsidR="00B548AD" w:rsidRPr="00B548AD" w:rsidRDefault="00B548AD" w:rsidP="00B548AD">
            <w:pPr>
              <w:spacing w:before="120" w:after="120"/>
              <w:ind w:left="-322" w:right="230"/>
              <w:jc w:val="right"/>
              <w:rPr>
                <w:rFonts w:ascii="Times New Roman" w:hAnsi="Times New Roman"/>
                <w:sz w:val="24"/>
                <w:szCs w:val="24"/>
              </w:rPr>
            </w:pPr>
            <w:r w:rsidRPr="00B548AD">
              <w:rPr>
                <w:rFonts w:ascii="Times New Roman" w:hAnsi="Times New Roman"/>
                <w:sz w:val="24"/>
                <w:szCs w:val="24"/>
              </w:rPr>
              <w:t>29.8</w:t>
            </w:r>
          </w:p>
        </w:tc>
        <w:tc>
          <w:tcPr>
            <w:tcW w:w="877" w:type="dxa"/>
          </w:tcPr>
          <w:p w:rsidR="00B548AD" w:rsidRPr="00B548AD" w:rsidRDefault="00B548AD" w:rsidP="00B548AD">
            <w:pPr>
              <w:spacing w:before="120" w:after="120"/>
              <w:ind w:left="-266" w:right="107"/>
              <w:jc w:val="right"/>
              <w:rPr>
                <w:rFonts w:ascii="Times New Roman" w:hAnsi="Times New Roman"/>
                <w:sz w:val="24"/>
                <w:szCs w:val="24"/>
              </w:rPr>
            </w:pPr>
            <w:r w:rsidRPr="00B548AD">
              <w:rPr>
                <w:rFonts w:ascii="Times New Roman" w:hAnsi="Times New Roman"/>
                <w:sz w:val="24"/>
                <w:szCs w:val="24"/>
              </w:rPr>
              <w:t>6.0</w:t>
            </w:r>
          </w:p>
        </w:tc>
        <w:tc>
          <w:tcPr>
            <w:tcW w:w="877" w:type="dxa"/>
          </w:tcPr>
          <w:p w:rsidR="00B548AD" w:rsidRPr="00B548AD" w:rsidRDefault="00B548AD" w:rsidP="00B548AD">
            <w:pPr>
              <w:spacing w:before="120" w:after="120"/>
              <w:ind w:left="-333" w:right="174"/>
              <w:jc w:val="right"/>
              <w:rPr>
                <w:rFonts w:ascii="Times New Roman" w:hAnsi="Times New Roman"/>
                <w:sz w:val="24"/>
                <w:szCs w:val="24"/>
              </w:rPr>
            </w:pPr>
            <w:r w:rsidRPr="00B548AD">
              <w:rPr>
                <w:rFonts w:ascii="Times New Roman" w:hAnsi="Times New Roman"/>
                <w:sz w:val="24"/>
                <w:szCs w:val="24"/>
              </w:rPr>
              <w:t>7.6</w:t>
            </w:r>
          </w:p>
        </w:tc>
        <w:tc>
          <w:tcPr>
            <w:tcW w:w="0" w:type="auto"/>
          </w:tcPr>
          <w:p w:rsidR="00B548AD" w:rsidRPr="00B548AD" w:rsidRDefault="00B548AD" w:rsidP="00B548AD">
            <w:pPr>
              <w:spacing w:before="120" w:after="120"/>
              <w:ind w:left="-310" w:right="151"/>
              <w:jc w:val="right"/>
              <w:rPr>
                <w:rFonts w:ascii="Times New Roman" w:hAnsi="Times New Roman"/>
                <w:sz w:val="24"/>
                <w:szCs w:val="24"/>
              </w:rPr>
            </w:pPr>
            <w:r w:rsidRPr="00B548AD">
              <w:rPr>
                <w:rFonts w:ascii="Times New Roman" w:hAnsi="Times New Roman"/>
                <w:sz w:val="24"/>
                <w:szCs w:val="24"/>
              </w:rPr>
              <w:t>26.7</w:t>
            </w:r>
          </w:p>
        </w:tc>
        <w:tc>
          <w:tcPr>
            <w:tcW w:w="877" w:type="dxa"/>
          </w:tcPr>
          <w:p w:rsidR="00B548AD" w:rsidRPr="00B548AD" w:rsidRDefault="00B548AD" w:rsidP="00B548AD">
            <w:pPr>
              <w:spacing w:before="120" w:after="120"/>
              <w:ind w:left="-197" w:right="38"/>
              <w:jc w:val="right"/>
              <w:rPr>
                <w:rFonts w:ascii="Times New Roman" w:hAnsi="Times New Roman"/>
                <w:sz w:val="24"/>
                <w:szCs w:val="24"/>
              </w:rPr>
            </w:pPr>
            <w:r w:rsidRPr="00B548AD">
              <w:rPr>
                <w:rFonts w:ascii="Times New Roman" w:hAnsi="Times New Roman"/>
                <w:sz w:val="24"/>
                <w:szCs w:val="24"/>
              </w:rPr>
              <w:t>32.2</w:t>
            </w:r>
          </w:p>
        </w:tc>
        <w:tc>
          <w:tcPr>
            <w:tcW w:w="877" w:type="dxa"/>
          </w:tcPr>
          <w:p w:rsidR="00B548AD" w:rsidRPr="00B548AD" w:rsidRDefault="00B548AD" w:rsidP="00B548AD">
            <w:pPr>
              <w:spacing w:before="120" w:after="120"/>
              <w:ind w:left="-264" w:right="105"/>
              <w:jc w:val="right"/>
              <w:rPr>
                <w:rFonts w:ascii="Times New Roman" w:hAnsi="Times New Roman"/>
                <w:sz w:val="24"/>
                <w:szCs w:val="24"/>
              </w:rPr>
            </w:pPr>
            <w:r w:rsidRPr="00B548AD">
              <w:rPr>
                <w:rFonts w:ascii="Times New Roman" w:hAnsi="Times New Roman"/>
                <w:sz w:val="24"/>
                <w:szCs w:val="24"/>
              </w:rPr>
              <w:t>77.4</w:t>
            </w:r>
          </w:p>
        </w:tc>
        <w:tc>
          <w:tcPr>
            <w:tcW w:w="877" w:type="dxa"/>
          </w:tcPr>
          <w:p w:rsidR="00B548AD" w:rsidRPr="00B548AD" w:rsidRDefault="00B548AD" w:rsidP="00B548AD">
            <w:pPr>
              <w:spacing w:before="120" w:after="120"/>
              <w:ind w:left="-264" w:right="105"/>
              <w:jc w:val="right"/>
              <w:rPr>
                <w:rFonts w:ascii="Times New Roman" w:hAnsi="Times New Roman"/>
                <w:sz w:val="24"/>
                <w:szCs w:val="24"/>
              </w:rPr>
            </w:pPr>
            <w:r w:rsidRPr="00B548AD">
              <w:rPr>
                <w:rFonts w:ascii="Times New Roman" w:hAnsi="Times New Roman"/>
                <w:sz w:val="24"/>
                <w:szCs w:val="24"/>
              </w:rPr>
              <w:t>179.7</w:t>
            </w:r>
          </w:p>
        </w:tc>
      </w:tr>
      <w:tr w:rsidR="00B548AD" w:rsidRPr="00B548AD" w:rsidTr="00B548AD">
        <w:trPr>
          <w:trHeight w:hRule="exact" w:val="432"/>
          <w:jc w:val="center"/>
        </w:trPr>
        <w:tc>
          <w:tcPr>
            <w:tcW w:w="2368" w:type="dxa"/>
          </w:tcPr>
          <w:p w:rsidR="00B548AD" w:rsidRPr="00B548AD" w:rsidRDefault="00B548AD" w:rsidP="00B548AD">
            <w:pPr>
              <w:spacing w:before="120" w:after="120"/>
              <w:rPr>
                <w:rFonts w:ascii="Times New Roman" w:hAnsi="Times New Roman"/>
                <w:b/>
                <w:i/>
                <w:sz w:val="24"/>
                <w:szCs w:val="24"/>
              </w:rPr>
            </w:pPr>
            <w:r w:rsidRPr="00B548AD">
              <w:rPr>
                <w:rFonts w:ascii="Times New Roman" w:eastAsia="Times New Roman" w:hAnsi="Times New Roman"/>
                <w:color w:val="000000"/>
                <w:sz w:val="24"/>
                <w:szCs w:val="24"/>
              </w:rPr>
              <w:t>Leasehold Rights Tax</w:t>
            </w:r>
          </w:p>
        </w:tc>
        <w:tc>
          <w:tcPr>
            <w:tcW w:w="1204" w:type="dxa"/>
          </w:tcPr>
          <w:p w:rsidR="00B548AD" w:rsidRPr="00B548AD" w:rsidRDefault="00B548AD" w:rsidP="00B548AD">
            <w:pPr>
              <w:spacing w:before="120" w:after="120"/>
              <w:ind w:left="-322" w:right="230"/>
              <w:jc w:val="right"/>
              <w:rPr>
                <w:rFonts w:ascii="Times New Roman" w:hAnsi="Times New Roman"/>
                <w:sz w:val="24"/>
                <w:szCs w:val="24"/>
              </w:rPr>
            </w:pPr>
            <w:r w:rsidRPr="00B548AD">
              <w:rPr>
                <w:rFonts w:ascii="Times New Roman" w:hAnsi="Times New Roman"/>
                <w:sz w:val="24"/>
                <w:szCs w:val="24"/>
              </w:rPr>
              <w:t>2.1</w:t>
            </w:r>
          </w:p>
        </w:tc>
        <w:tc>
          <w:tcPr>
            <w:tcW w:w="877" w:type="dxa"/>
          </w:tcPr>
          <w:p w:rsidR="00B548AD" w:rsidRPr="00B548AD" w:rsidRDefault="00B548AD" w:rsidP="00B548AD">
            <w:pPr>
              <w:spacing w:before="120" w:after="120"/>
              <w:ind w:left="-266" w:right="107"/>
              <w:jc w:val="right"/>
              <w:rPr>
                <w:rFonts w:ascii="Times New Roman" w:hAnsi="Times New Roman"/>
                <w:sz w:val="24"/>
                <w:szCs w:val="24"/>
              </w:rPr>
            </w:pPr>
            <w:r w:rsidRPr="00B548AD">
              <w:rPr>
                <w:rFonts w:ascii="Times New Roman" w:hAnsi="Times New Roman"/>
                <w:sz w:val="24"/>
                <w:szCs w:val="24"/>
              </w:rPr>
              <w:t>0.2</w:t>
            </w:r>
          </w:p>
        </w:tc>
        <w:tc>
          <w:tcPr>
            <w:tcW w:w="877" w:type="dxa"/>
          </w:tcPr>
          <w:p w:rsidR="00B548AD" w:rsidRPr="00B548AD" w:rsidRDefault="00B548AD" w:rsidP="00B548AD">
            <w:pPr>
              <w:spacing w:before="120" w:after="120"/>
              <w:ind w:left="-333" w:right="174"/>
              <w:jc w:val="right"/>
              <w:rPr>
                <w:rFonts w:ascii="Times New Roman" w:hAnsi="Times New Roman"/>
                <w:sz w:val="24"/>
                <w:szCs w:val="24"/>
              </w:rPr>
            </w:pPr>
            <w:r w:rsidRPr="00B548AD">
              <w:rPr>
                <w:rFonts w:ascii="Times New Roman" w:hAnsi="Times New Roman"/>
                <w:sz w:val="24"/>
                <w:szCs w:val="24"/>
              </w:rPr>
              <w:t>4.1</w:t>
            </w:r>
          </w:p>
        </w:tc>
        <w:tc>
          <w:tcPr>
            <w:tcW w:w="0" w:type="auto"/>
          </w:tcPr>
          <w:p w:rsidR="00B548AD" w:rsidRPr="00B548AD" w:rsidRDefault="00B548AD" w:rsidP="00B548AD">
            <w:pPr>
              <w:spacing w:before="120" w:after="120"/>
              <w:ind w:left="-310" w:right="151"/>
              <w:jc w:val="right"/>
              <w:rPr>
                <w:rFonts w:ascii="Times New Roman" w:hAnsi="Times New Roman"/>
                <w:sz w:val="24"/>
                <w:szCs w:val="24"/>
              </w:rPr>
            </w:pPr>
            <w:r w:rsidRPr="00B548AD">
              <w:rPr>
                <w:rFonts w:ascii="Times New Roman" w:hAnsi="Times New Roman"/>
                <w:sz w:val="24"/>
                <w:szCs w:val="24"/>
              </w:rPr>
              <w:t>2.5</w:t>
            </w:r>
          </w:p>
        </w:tc>
        <w:tc>
          <w:tcPr>
            <w:tcW w:w="877" w:type="dxa"/>
          </w:tcPr>
          <w:p w:rsidR="00B548AD" w:rsidRPr="00B548AD" w:rsidRDefault="00B548AD" w:rsidP="00B548AD">
            <w:pPr>
              <w:spacing w:before="120" w:after="120"/>
              <w:ind w:left="-197" w:right="38"/>
              <w:jc w:val="right"/>
              <w:rPr>
                <w:rFonts w:ascii="Times New Roman" w:hAnsi="Times New Roman"/>
                <w:sz w:val="24"/>
                <w:szCs w:val="24"/>
              </w:rPr>
            </w:pPr>
            <w:r w:rsidRPr="00B548AD">
              <w:rPr>
                <w:rFonts w:ascii="Times New Roman" w:hAnsi="Times New Roman"/>
                <w:sz w:val="24"/>
                <w:szCs w:val="24"/>
              </w:rPr>
              <w:t>16.4</w:t>
            </w:r>
          </w:p>
        </w:tc>
        <w:tc>
          <w:tcPr>
            <w:tcW w:w="877" w:type="dxa"/>
          </w:tcPr>
          <w:p w:rsidR="00B548AD" w:rsidRPr="00B548AD" w:rsidRDefault="00B548AD" w:rsidP="00B548AD">
            <w:pPr>
              <w:spacing w:before="120" w:after="120"/>
              <w:ind w:left="-264" w:right="105"/>
              <w:jc w:val="right"/>
              <w:rPr>
                <w:rFonts w:ascii="Times New Roman" w:hAnsi="Times New Roman"/>
                <w:sz w:val="24"/>
                <w:szCs w:val="24"/>
              </w:rPr>
            </w:pPr>
            <w:r w:rsidRPr="00B548AD">
              <w:rPr>
                <w:rFonts w:ascii="Times New Roman" w:hAnsi="Times New Roman"/>
                <w:sz w:val="24"/>
                <w:szCs w:val="24"/>
              </w:rPr>
              <w:t>10.9</w:t>
            </w:r>
          </w:p>
        </w:tc>
        <w:tc>
          <w:tcPr>
            <w:tcW w:w="877" w:type="dxa"/>
          </w:tcPr>
          <w:p w:rsidR="00B548AD" w:rsidRPr="00B548AD" w:rsidRDefault="00B548AD" w:rsidP="00B548AD">
            <w:pPr>
              <w:spacing w:before="120" w:after="120"/>
              <w:ind w:left="-264" w:right="105"/>
              <w:jc w:val="right"/>
              <w:rPr>
                <w:rFonts w:ascii="Times New Roman" w:hAnsi="Times New Roman"/>
                <w:sz w:val="24"/>
                <w:szCs w:val="24"/>
              </w:rPr>
            </w:pPr>
            <w:r w:rsidRPr="00B548AD">
              <w:rPr>
                <w:rFonts w:ascii="Times New Roman" w:hAnsi="Times New Roman"/>
                <w:sz w:val="24"/>
                <w:szCs w:val="24"/>
              </w:rPr>
              <w:t>36.2</w:t>
            </w:r>
          </w:p>
        </w:tc>
      </w:tr>
      <w:tr w:rsidR="00B548AD" w:rsidRPr="00B548AD" w:rsidTr="00B548AD">
        <w:trPr>
          <w:trHeight w:hRule="exact" w:val="432"/>
          <w:jc w:val="center"/>
        </w:trPr>
        <w:tc>
          <w:tcPr>
            <w:tcW w:w="2368" w:type="dxa"/>
          </w:tcPr>
          <w:p w:rsidR="00B548AD" w:rsidRPr="00B548AD" w:rsidRDefault="00B548AD" w:rsidP="00B548AD">
            <w:pPr>
              <w:spacing w:before="120" w:after="120"/>
              <w:rPr>
                <w:rFonts w:ascii="Times New Roman" w:hAnsi="Times New Roman"/>
                <w:b/>
                <w:i/>
                <w:sz w:val="24"/>
                <w:szCs w:val="24"/>
              </w:rPr>
            </w:pPr>
            <w:r w:rsidRPr="00B548AD">
              <w:rPr>
                <w:rFonts w:ascii="Times New Roman" w:eastAsia="Times New Roman" w:hAnsi="Times New Roman"/>
                <w:color w:val="000000"/>
                <w:sz w:val="24"/>
                <w:szCs w:val="24"/>
              </w:rPr>
              <w:t>Capital Gains Tax</w:t>
            </w:r>
          </w:p>
        </w:tc>
        <w:tc>
          <w:tcPr>
            <w:tcW w:w="1204" w:type="dxa"/>
          </w:tcPr>
          <w:p w:rsidR="00B548AD" w:rsidRPr="00B548AD" w:rsidRDefault="00B548AD" w:rsidP="00B548AD">
            <w:pPr>
              <w:spacing w:before="120" w:after="120"/>
              <w:ind w:left="-322" w:right="230"/>
              <w:jc w:val="right"/>
              <w:rPr>
                <w:rFonts w:ascii="Times New Roman" w:hAnsi="Times New Roman"/>
                <w:sz w:val="24"/>
                <w:szCs w:val="24"/>
              </w:rPr>
            </w:pPr>
            <w:r w:rsidRPr="00B548AD">
              <w:rPr>
                <w:rFonts w:ascii="Times New Roman" w:hAnsi="Times New Roman"/>
                <w:sz w:val="24"/>
                <w:szCs w:val="24"/>
              </w:rPr>
              <w:t>11.6</w:t>
            </w:r>
          </w:p>
        </w:tc>
        <w:tc>
          <w:tcPr>
            <w:tcW w:w="877" w:type="dxa"/>
          </w:tcPr>
          <w:p w:rsidR="00B548AD" w:rsidRPr="00B548AD" w:rsidRDefault="00B548AD" w:rsidP="00B548AD">
            <w:pPr>
              <w:spacing w:before="120" w:after="120"/>
              <w:ind w:left="-266" w:right="107"/>
              <w:jc w:val="right"/>
              <w:rPr>
                <w:rFonts w:ascii="Times New Roman" w:hAnsi="Times New Roman"/>
                <w:sz w:val="24"/>
                <w:szCs w:val="24"/>
              </w:rPr>
            </w:pPr>
          </w:p>
        </w:tc>
        <w:tc>
          <w:tcPr>
            <w:tcW w:w="877" w:type="dxa"/>
          </w:tcPr>
          <w:p w:rsidR="00B548AD" w:rsidRPr="00B548AD" w:rsidRDefault="00B548AD" w:rsidP="00B548AD">
            <w:pPr>
              <w:spacing w:before="120" w:after="120"/>
              <w:ind w:left="-333" w:right="174"/>
              <w:jc w:val="right"/>
              <w:rPr>
                <w:rFonts w:ascii="Times New Roman" w:hAnsi="Times New Roman"/>
                <w:sz w:val="24"/>
                <w:szCs w:val="24"/>
              </w:rPr>
            </w:pPr>
          </w:p>
        </w:tc>
        <w:tc>
          <w:tcPr>
            <w:tcW w:w="0" w:type="auto"/>
          </w:tcPr>
          <w:p w:rsidR="00B548AD" w:rsidRPr="00B548AD" w:rsidRDefault="00B548AD" w:rsidP="00B548AD">
            <w:pPr>
              <w:spacing w:before="120" w:after="120"/>
              <w:ind w:left="-310" w:right="151"/>
              <w:jc w:val="right"/>
              <w:rPr>
                <w:rFonts w:ascii="Times New Roman" w:hAnsi="Times New Roman"/>
                <w:sz w:val="24"/>
                <w:szCs w:val="24"/>
              </w:rPr>
            </w:pPr>
          </w:p>
        </w:tc>
        <w:tc>
          <w:tcPr>
            <w:tcW w:w="877" w:type="dxa"/>
          </w:tcPr>
          <w:p w:rsidR="00B548AD" w:rsidRPr="00B548AD" w:rsidRDefault="00B548AD" w:rsidP="00B548AD">
            <w:pPr>
              <w:spacing w:before="120" w:after="120"/>
              <w:ind w:left="-197" w:right="38"/>
              <w:jc w:val="right"/>
              <w:rPr>
                <w:rFonts w:ascii="Times New Roman" w:hAnsi="Times New Roman"/>
                <w:sz w:val="24"/>
                <w:szCs w:val="24"/>
              </w:rPr>
            </w:pPr>
          </w:p>
        </w:tc>
        <w:tc>
          <w:tcPr>
            <w:tcW w:w="877" w:type="dxa"/>
          </w:tcPr>
          <w:p w:rsidR="00B548AD" w:rsidRPr="00B548AD" w:rsidRDefault="00B548AD" w:rsidP="00B548AD">
            <w:pPr>
              <w:spacing w:before="120" w:after="120"/>
              <w:ind w:left="-264" w:right="105"/>
              <w:jc w:val="right"/>
              <w:rPr>
                <w:rFonts w:ascii="Times New Roman" w:hAnsi="Times New Roman"/>
                <w:sz w:val="24"/>
                <w:szCs w:val="24"/>
              </w:rPr>
            </w:pPr>
          </w:p>
        </w:tc>
        <w:tc>
          <w:tcPr>
            <w:tcW w:w="877" w:type="dxa"/>
          </w:tcPr>
          <w:p w:rsidR="00B548AD" w:rsidRPr="00B548AD" w:rsidRDefault="00B548AD" w:rsidP="00B548AD">
            <w:pPr>
              <w:spacing w:before="120" w:after="120"/>
              <w:ind w:left="-264" w:right="105"/>
              <w:jc w:val="right"/>
              <w:rPr>
                <w:rFonts w:ascii="Times New Roman" w:hAnsi="Times New Roman"/>
                <w:sz w:val="24"/>
                <w:szCs w:val="24"/>
              </w:rPr>
            </w:pPr>
            <w:r w:rsidRPr="00B548AD">
              <w:rPr>
                <w:rFonts w:ascii="Times New Roman" w:hAnsi="Times New Roman"/>
                <w:sz w:val="24"/>
                <w:szCs w:val="24"/>
              </w:rPr>
              <w:t>11.6</w:t>
            </w:r>
          </w:p>
        </w:tc>
      </w:tr>
      <w:tr w:rsidR="00B548AD" w:rsidRPr="00B548AD" w:rsidTr="00B548AD">
        <w:trPr>
          <w:trHeight w:hRule="exact" w:val="432"/>
          <w:jc w:val="center"/>
        </w:trPr>
        <w:tc>
          <w:tcPr>
            <w:tcW w:w="2368" w:type="dxa"/>
          </w:tcPr>
          <w:p w:rsidR="00B548AD" w:rsidRPr="00B548AD" w:rsidRDefault="00B548AD" w:rsidP="00B548AD">
            <w:pPr>
              <w:spacing w:before="120" w:after="120"/>
              <w:rPr>
                <w:rFonts w:ascii="Times New Roman" w:hAnsi="Times New Roman"/>
                <w:b/>
                <w:i/>
                <w:sz w:val="24"/>
                <w:szCs w:val="24"/>
              </w:rPr>
            </w:pPr>
            <w:proofErr w:type="spellStart"/>
            <w:r w:rsidRPr="00B548AD">
              <w:rPr>
                <w:rFonts w:ascii="Times New Roman" w:eastAsia="Times New Roman" w:hAnsi="Times New Roman"/>
                <w:color w:val="000000"/>
                <w:sz w:val="24"/>
                <w:szCs w:val="24"/>
              </w:rPr>
              <w:t>Campement</w:t>
            </w:r>
            <w:proofErr w:type="spellEnd"/>
            <w:r w:rsidRPr="00B548AD">
              <w:rPr>
                <w:rFonts w:ascii="Times New Roman" w:eastAsia="Times New Roman" w:hAnsi="Times New Roman"/>
                <w:color w:val="000000"/>
                <w:sz w:val="24"/>
                <w:szCs w:val="24"/>
              </w:rPr>
              <w:t xml:space="preserve"> Site Tax</w:t>
            </w:r>
          </w:p>
        </w:tc>
        <w:tc>
          <w:tcPr>
            <w:tcW w:w="1204" w:type="dxa"/>
          </w:tcPr>
          <w:p w:rsidR="00B548AD" w:rsidRPr="00B548AD" w:rsidRDefault="00B548AD" w:rsidP="00B548AD">
            <w:pPr>
              <w:spacing w:before="120" w:after="120"/>
              <w:ind w:left="-322" w:right="230"/>
              <w:jc w:val="right"/>
              <w:rPr>
                <w:rFonts w:ascii="Times New Roman" w:hAnsi="Times New Roman"/>
                <w:sz w:val="24"/>
                <w:szCs w:val="24"/>
              </w:rPr>
            </w:pPr>
            <w:r w:rsidRPr="00B548AD">
              <w:rPr>
                <w:rFonts w:ascii="Times New Roman" w:hAnsi="Times New Roman"/>
                <w:sz w:val="24"/>
                <w:szCs w:val="24"/>
              </w:rPr>
              <w:t>10.8</w:t>
            </w:r>
          </w:p>
        </w:tc>
        <w:tc>
          <w:tcPr>
            <w:tcW w:w="877" w:type="dxa"/>
          </w:tcPr>
          <w:p w:rsidR="00B548AD" w:rsidRPr="00B548AD" w:rsidRDefault="00B548AD" w:rsidP="00B548AD">
            <w:pPr>
              <w:spacing w:before="120" w:after="120"/>
              <w:ind w:left="-266" w:right="107"/>
              <w:jc w:val="right"/>
              <w:rPr>
                <w:rFonts w:ascii="Times New Roman" w:hAnsi="Times New Roman"/>
                <w:sz w:val="24"/>
                <w:szCs w:val="24"/>
              </w:rPr>
            </w:pPr>
            <w:r w:rsidRPr="00B548AD">
              <w:rPr>
                <w:rFonts w:ascii="Times New Roman" w:hAnsi="Times New Roman"/>
                <w:sz w:val="24"/>
                <w:szCs w:val="24"/>
              </w:rPr>
              <w:t>0.8</w:t>
            </w:r>
          </w:p>
        </w:tc>
        <w:tc>
          <w:tcPr>
            <w:tcW w:w="877" w:type="dxa"/>
          </w:tcPr>
          <w:p w:rsidR="00B548AD" w:rsidRPr="00B548AD" w:rsidRDefault="00B548AD" w:rsidP="00B548AD">
            <w:pPr>
              <w:spacing w:before="120" w:after="120"/>
              <w:ind w:left="-333" w:right="174"/>
              <w:jc w:val="right"/>
              <w:rPr>
                <w:rFonts w:ascii="Times New Roman" w:hAnsi="Times New Roman"/>
                <w:sz w:val="24"/>
                <w:szCs w:val="24"/>
              </w:rPr>
            </w:pPr>
            <w:r w:rsidRPr="00B548AD">
              <w:rPr>
                <w:rFonts w:ascii="Times New Roman" w:hAnsi="Times New Roman"/>
                <w:sz w:val="24"/>
                <w:szCs w:val="24"/>
              </w:rPr>
              <w:t>0.6</w:t>
            </w:r>
          </w:p>
        </w:tc>
        <w:tc>
          <w:tcPr>
            <w:tcW w:w="0" w:type="auto"/>
          </w:tcPr>
          <w:p w:rsidR="00B548AD" w:rsidRPr="00B548AD" w:rsidRDefault="00B548AD" w:rsidP="00B548AD">
            <w:pPr>
              <w:spacing w:before="120" w:after="120"/>
              <w:ind w:left="-310" w:right="151"/>
              <w:jc w:val="right"/>
              <w:rPr>
                <w:rFonts w:ascii="Times New Roman" w:hAnsi="Times New Roman"/>
                <w:sz w:val="24"/>
                <w:szCs w:val="24"/>
              </w:rPr>
            </w:pPr>
            <w:r w:rsidRPr="00B548AD">
              <w:rPr>
                <w:rFonts w:ascii="Times New Roman" w:hAnsi="Times New Roman"/>
                <w:sz w:val="24"/>
                <w:szCs w:val="24"/>
              </w:rPr>
              <w:t>0.6</w:t>
            </w:r>
          </w:p>
        </w:tc>
        <w:tc>
          <w:tcPr>
            <w:tcW w:w="877" w:type="dxa"/>
          </w:tcPr>
          <w:p w:rsidR="00B548AD" w:rsidRPr="00B548AD" w:rsidRDefault="00B548AD" w:rsidP="00B548AD">
            <w:pPr>
              <w:spacing w:before="120" w:after="120"/>
              <w:ind w:left="-197" w:right="38"/>
              <w:jc w:val="right"/>
              <w:rPr>
                <w:rFonts w:ascii="Times New Roman" w:hAnsi="Times New Roman"/>
                <w:sz w:val="24"/>
                <w:szCs w:val="24"/>
              </w:rPr>
            </w:pPr>
            <w:r w:rsidRPr="00B548AD">
              <w:rPr>
                <w:rFonts w:ascii="Times New Roman" w:hAnsi="Times New Roman"/>
                <w:sz w:val="24"/>
                <w:szCs w:val="24"/>
              </w:rPr>
              <w:t>1.6</w:t>
            </w:r>
          </w:p>
        </w:tc>
        <w:tc>
          <w:tcPr>
            <w:tcW w:w="877" w:type="dxa"/>
          </w:tcPr>
          <w:p w:rsidR="00B548AD" w:rsidRPr="00B548AD" w:rsidRDefault="00B548AD" w:rsidP="00B548AD">
            <w:pPr>
              <w:spacing w:before="120" w:after="120"/>
              <w:ind w:left="-264" w:right="105"/>
              <w:jc w:val="right"/>
              <w:rPr>
                <w:rFonts w:ascii="Times New Roman" w:hAnsi="Times New Roman"/>
                <w:sz w:val="24"/>
                <w:szCs w:val="24"/>
              </w:rPr>
            </w:pPr>
            <w:r w:rsidRPr="00B548AD">
              <w:rPr>
                <w:rFonts w:ascii="Times New Roman" w:hAnsi="Times New Roman"/>
                <w:sz w:val="24"/>
                <w:szCs w:val="24"/>
              </w:rPr>
              <w:t>0.3</w:t>
            </w:r>
          </w:p>
        </w:tc>
        <w:tc>
          <w:tcPr>
            <w:tcW w:w="877" w:type="dxa"/>
          </w:tcPr>
          <w:p w:rsidR="00B548AD" w:rsidRPr="00B548AD" w:rsidRDefault="00B548AD" w:rsidP="00B548AD">
            <w:pPr>
              <w:spacing w:before="120" w:after="120"/>
              <w:ind w:left="-264" w:right="105"/>
              <w:jc w:val="right"/>
              <w:rPr>
                <w:rFonts w:ascii="Times New Roman" w:hAnsi="Times New Roman"/>
                <w:sz w:val="24"/>
                <w:szCs w:val="24"/>
              </w:rPr>
            </w:pPr>
            <w:r w:rsidRPr="00B548AD">
              <w:rPr>
                <w:rFonts w:ascii="Times New Roman" w:hAnsi="Times New Roman"/>
                <w:sz w:val="24"/>
                <w:szCs w:val="24"/>
              </w:rPr>
              <w:t>14.7</w:t>
            </w:r>
          </w:p>
        </w:tc>
      </w:tr>
      <w:tr w:rsidR="00B548AD" w:rsidRPr="00B548AD" w:rsidTr="00B548AD">
        <w:trPr>
          <w:trHeight w:hRule="exact" w:val="432"/>
          <w:jc w:val="center"/>
        </w:trPr>
        <w:tc>
          <w:tcPr>
            <w:tcW w:w="2368" w:type="dxa"/>
          </w:tcPr>
          <w:p w:rsidR="00B548AD" w:rsidRPr="00B548AD" w:rsidRDefault="00B548AD" w:rsidP="00B548AD">
            <w:pPr>
              <w:spacing w:before="120" w:after="120"/>
              <w:rPr>
                <w:rFonts w:ascii="Times New Roman" w:hAnsi="Times New Roman"/>
                <w:b/>
                <w:i/>
                <w:sz w:val="24"/>
                <w:szCs w:val="24"/>
              </w:rPr>
            </w:pPr>
            <w:proofErr w:type="spellStart"/>
            <w:r w:rsidRPr="00B548AD">
              <w:rPr>
                <w:rFonts w:ascii="Times New Roman" w:eastAsia="Times New Roman" w:hAnsi="Times New Roman"/>
                <w:color w:val="000000"/>
                <w:sz w:val="24"/>
                <w:szCs w:val="24"/>
              </w:rPr>
              <w:t>Campement</w:t>
            </w:r>
            <w:proofErr w:type="spellEnd"/>
            <w:r w:rsidRPr="00B548AD">
              <w:rPr>
                <w:rFonts w:ascii="Times New Roman" w:eastAsia="Times New Roman" w:hAnsi="Times New Roman"/>
                <w:color w:val="000000"/>
                <w:sz w:val="24"/>
                <w:szCs w:val="24"/>
              </w:rPr>
              <w:t xml:space="preserve"> Tax</w:t>
            </w:r>
          </w:p>
        </w:tc>
        <w:tc>
          <w:tcPr>
            <w:tcW w:w="1204" w:type="dxa"/>
          </w:tcPr>
          <w:p w:rsidR="00B548AD" w:rsidRPr="00B548AD" w:rsidRDefault="00B548AD" w:rsidP="00B548AD">
            <w:pPr>
              <w:spacing w:before="120" w:after="120"/>
              <w:ind w:left="-322" w:right="230"/>
              <w:jc w:val="right"/>
              <w:rPr>
                <w:rFonts w:ascii="Times New Roman" w:hAnsi="Times New Roman"/>
                <w:sz w:val="24"/>
                <w:szCs w:val="24"/>
              </w:rPr>
            </w:pPr>
            <w:r w:rsidRPr="00B548AD">
              <w:rPr>
                <w:rFonts w:ascii="Times New Roman" w:hAnsi="Times New Roman"/>
                <w:sz w:val="24"/>
                <w:szCs w:val="24"/>
              </w:rPr>
              <w:t>3.7</w:t>
            </w:r>
          </w:p>
        </w:tc>
        <w:tc>
          <w:tcPr>
            <w:tcW w:w="877" w:type="dxa"/>
          </w:tcPr>
          <w:p w:rsidR="00B548AD" w:rsidRPr="00B548AD" w:rsidRDefault="00B548AD" w:rsidP="00B548AD">
            <w:pPr>
              <w:spacing w:before="120" w:after="120"/>
              <w:ind w:left="-266" w:right="107"/>
              <w:jc w:val="right"/>
              <w:rPr>
                <w:rFonts w:ascii="Times New Roman" w:hAnsi="Times New Roman"/>
                <w:sz w:val="24"/>
                <w:szCs w:val="24"/>
              </w:rPr>
            </w:pPr>
            <w:r w:rsidRPr="00B548AD">
              <w:rPr>
                <w:rFonts w:ascii="Times New Roman" w:hAnsi="Times New Roman"/>
                <w:sz w:val="24"/>
                <w:szCs w:val="24"/>
              </w:rPr>
              <w:t>0.3</w:t>
            </w:r>
          </w:p>
        </w:tc>
        <w:tc>
          <w:tcPr>
            <w:tcW w:w="877" w:type="dxa"/>
          </w:tcPr>
          <w:p w:rsidR="00B548AD" w:rsidRPr="00B548AD" w:rsidRDefault="00B548AD" w:rsidP="00B548AD">
            <w:pPr>
              <w:spacing w:before="120" w:after="120"/>
              <w:ind w:left="-333" w:right="174"/>
              <w:jc w:val="right"/>
              <w:rPr>
                <w:rFonts w:ascii="Times New Roman" w:hAnsi="Times New Roman"/>
                <w:sz w:val="24"/>
                <w:szCs w:val="24"/>
              </w:rPr>
            </w:pPr>
          </w:p>
        </w:tc>
        <w:tc>
          <w:tcPr>
            <w:tcW w:w="0" w:type="auto"/>
          </w:tcPr>
          <w:p w:rsidR="00B548AD" w:rsidRPr="00B548AD" w:rsidRDefault="00B548AD" w:rsidP="00B548AD">
            <w:pPr>
              <w:spacing w:before="120" w:after="120"/>
              <w:ind w:left="-310" w:right="151"/>
              <w:jc w:val="right"/>
              <w:rPr>
                <w:rFonts w:ascii="Times New Roman" w:hAnsi="Times New Roman"/>
                <w:sz w:val="24"/>
                <w:szCs w:val="24"/>
              </w:rPr>
            </w:pPr>
          </w:p>
        </w:tc>
        <w:tc>
          <w:tcPr>
            <w:tcW w:w="877" w:type="dxa"/>
          </w:tcPr>
          <w:p w:rsidR="00B548AD" w:rsidRPr="00B548AD" w:rsidRDefault="00B548AD" w:rsidP="00B548AD">
            <w:pPr>
              <w:spacing w:before="120" w:after="120"/>
              <w:ind w:left="-197" w:right="38"/>
              <w:jc w:val="right"/>
              <w:rPr>
                <w:rFonts w:ascii="Times New Roman" w:hAnsi="Times New Roman"/>
                <w:sz w:val="24"/>
                <w:szCs w:val="24"/>
              </w:rPr>
            </w:pPr>
          </w:p>
        </w:tc>
        <w:tc>
          <w:tcPr>
            <w:tcW w:w="877" w:type="dxa"/>
          </w:tcPr>
          <w:p w:rsidR="00B548AD" w:rsidRPr="00B548AD" w:rsidRDefault="00B548AD" w:rsidP="00B548AD">
            <w:pPr>
              <w:spacing w:before="120" w:after="120"/>
              <w:ind w:left="-264" w:right="105"/>
              <w:jc w:val="right"/>
              <w:rPr>
                <w:rFonts w:ascii="Times New Roman" w:hAnsi="Times New Roman"/>
                <w:sz w:val="24"/>
                <w:szCs w:val="24"/>
              </w:rPr>
            </w:pPr>
          </w:p>
        </w:tc>
        <w:tc>
          <w:tcPr>
            <w:tcW w:w="877" w:type="dxa"/>
          </w:tcPr>
          <w:p w:rsidR="00B548AD" w:rsidRPr="00B548AD" w:rsidRDefault="00B548AD" w:rsidP="00B548AD">
            <w:pPr>
              <w:spacing w:before="120" w:after="120"/>
              <w:ind w:left="-264" w:right="105"/>
              <w:jc w:val="right"/>
              <w:rPr>
                <w:rFonts w:ascii="Times New Roman" w:hAnsi="Times New Roman"/>
                <w:sz w:val="24"/>
                <w:szCs w:val="24"/>
              </w:rPr>
            </w:pPr>
            <w:r w:rsidRPr="00B548AD">
              <w:rPr>
                <w:rFonts w:ascii="Times New Roman" w:hAnsi="Times New Roman"/>
                <w:sz w:val="24"/>
                <w:szCs w:val="24"/>
              </w:rPr>
              <w:t>4.0</w:t>
            </w:r>
          </w:p>
        </w:tc>
      </w:tr>
      <w:tr w:rsidR="00B548AD" w:rsidRPr="00B548AD" w:rsidTr="00B548AD">
        <w:trPr>
          <w:trHeight w:hRule="exact" w:val="432"/>
          <w:jc w:val="center"/>
        </w:trPr>
        <w:tc>
          <w:tcPr>
            <w:tcW w:w="2368" w:type="dxa"/>
          </w:tcPr>
          <w:p w:rsidR="00B548AD" w:rsidRPr="00B548AD" w:rsidRDefault="00B548AD" w:rsidP="00B548AD">
            <w:pPr>
              <w:spacing w:before="120" w:after="120"/>
              <w:rPr>
                <w:rFonts w:ascii="Times New Roman" w:hAnsi="Times New Roman"/>
                <w:b/>
                <w:i/>
                <w:sz w:val="24"/>
                <w:szCs w:val="24"/>
              </w:rPr>
            </w:pPr>
            <w:r w:rsidRPr="00B548AD">
              <w:rPr>
                <w:rFonts w:ascii="Times New Roman" w:eastAsia="Times New Roman" w:hAnsi="Times New Roman"/>
                <w:color w:val="000000"/>
                <w:sz w:val="24"/>
                <w:szCs w:val="24"/>
              </w:rPr>
              <w:t>Short on Deed</w:t>
            </w:r>
          </w:p>
        </w:tc>
        <w:tc>
          <w:tcPr>
            <w:tcW w:w="1204" w:type="dxa"/>
          </w:tcPr>
          <w:p w:rsidR="00B548AD" w:rsidRPr="00B548AD" w:rsidRDefault="00B548AD" w:rsidP="00B548AD">
            <w:pPr>
              <w:spacing w:before="120" w:after="120"/>
              <w:ind w:left="-322" w:right="230"/>
              <w:jc w:val="right"/>
              <w:rPr>
                <w:rFonts w:ascii="Times New Roman" w:hAnsi="Times New Roman"/>
                <w:sz w:val="24"/>
                <w:szCs w:val="24"/>
              </w:rPr>
            </w:pPr>
            <w:r w:rsidRPr="00B548AD">
              <w:rPr>
                <w:rFonts w:ascii="Times New Roman" w:hAnsi="Times New Roman"/>
                <w:sz w:val="24"/>
                <w:szCs w:val="24"/>
              </w:rPr>
              <w:t>11.8</w:t>
            </w:r>
          </w:p>
        </w:tc>
        <w:tc>
          <w:tcPr>
            <w:tcW w:w="877" w:type="dxa"/>
          </w:tcPr>
          <w:p w:rsidR="00B548AD" w:rsidRPr="00B548AD" w:rsidRDefault="00B548AD" w:rsidP="00B548AD">
            <w:pPr>
              <w:spacing w:before="120" w:after="120"/>
              <w:ind w:left="-266" w:right="107"/>
              <w:jc w:val="right"/>
              <w:rPr>
                <w:rFonts w:ascii="Times New Roman" w:hAnsi="Times New Roman"/>
                <w:sz w:val="24"/>
                <w:szCs w:val="24"/>
              </w:rPr>
            </w:pPr>
          </w:p>
        </w:tc>
        <w:tc>
          <w:tcPr>
            <w:tcW w:w="877" w:type="dxa"/>
          </w:tcPr>
          <w:p w:rsidR="00B548AD" w:rsidRPr="00B548AD" w:rsidRDefault="00B548AD" w:rsidP="00B548AD">
            <w:pPr>
              <w:spacing w:before="120" w:after="120"/>
              <w:ind w:left="-333" w:right="174"/>
              <w:jc w:val="right"/>
              <w:rPr>
                <w:rFonts w:ascii="Times New Roman" w:hAnsi="Times New Roman"/>
                <w:sz w:val="24"/>
                <w:szCs w:val="24"/>
              </w:rPr>
            </w:pPr>
          </w:p>
        </w:tc>
        <w:tc>
          <w:tcPr>
            <w:tcW w:w="0" w:type="auto"/>
          </w:tcPr>
          <w:p w:rsidR="00B548AD" w:rsidRPr="00B548AD" w:rsidRDefault="00B548AD" w:rsidP="00B548AD">
            <w:pPr>
              <w:spacing w:before="120" w:after="120"/>
              <w:ind w:left="-310" w:right="151"/>
              <w:jc w:val="right"/>
              <w:rPr>
                <w:rFonts w:ascii="Times New Roman" w:hAnsi="Times New Roman"/>
                <w:sz w:val="24"/>
                <w:szCs w:val="24"/>
              </w:rPr>
            </w:pPr>
            <w:r w:rsidRPr="00B548AD">
              <w:rPr>
                <w:rFonts w:ascii="Times New Roman" w:hAnsi="Times New Roman"/>
                <w:sz w:val="24"/>
                <w:szCs w:val="24"/>
              </w:rPr>
              <w:t>15.7</w:t>
            </w:r>
          </w:p>
        </w:tc>
        <w:tc>
          <w:tcPr>
            <w:tcW w:w="877" w:type="dxa"/>
          </w:tcPr>
          <w:p w:rsidR="00B548AD" w:rsidRPr="00B548AD" w:rsidRDefault="00B548AD" w:rsidP="00B548AD">
            <w:pPr>
              <w:spacing w:before="120" w:after="120"/>
              <w:ind w:left="-197" w:right="38"/>
              <w:jc w:val="right"/>
              <w:rPr>
                <w:rFonts w:ascii="Times New Roman" w:hAnsi="Times New Roman"/>
                <w:sz w:val="24"/>
                <w:szCs w:val="24"/>
              </w:rPr>
            </w:pPr>
            <w:r w:rsidRPr="00B548AD">
              <w:rPr>
                <w:rFonts w:ascii="Times New Roman" w:hAnsi="Times New Roman"/>
                <w:sz w:val="24"/>
                <w:szCs w:val="24"/>
              </w:rPr>
              <w:t>0.1</w:t>
            </w:r>
          </w:p>
        </w:tc>
        <w:tc>
          <w:tcPr>
            <w:tcW w:w="877" w:type="dxa"/>
          </w:tcPr>
          <w:p w:rsidR="00B548AD" w:rsidRPr="00B548AD" w:rsidRDefault="00B548AD" w:rsidP="00B548AD">
            <w:pPr>
              <w:spacing w:before="120" w:after="120"/>
              <w:ind w:left="-264" w:right="105"/>
              <w:jc w:val="right"/>
              <w:rPr>
                <w:rFonts w:ascii="Times New Roman" w:hAnsi="Times New Roman"/>
                <w:sz w:val="24"/>
                <w:szCs w:val="24"/>
              </w:rPr>
            </w:pPr>
          </w:p>
        </w:tc>
        <w:tc>
          <w:tcPr>
            <w:tcW w:w="877" w:type="dxa"/>
          </w:tcPr>
          <w:p w:rsidR="00B548AD" w:rsidRPr="00B548AD" w:rsidRDefault="00B548AD" w:rsidP="00B548AD">
            <w:pPr>
              <w:spacing w:before="120" w:after="120"/>
              <w:ind w:left="-264" w:right="105"/>
              <w:jc w:val="right"/>
              <w:rPr>
                <w:rFonts w:ascii="Times New Roman" w:hAnsi="Times New Roman"/>
                <w:sz w:val="24"/>
                <w:szCs w:val="24"/>
              </w:rPr>
            </w:pPr>
            <w:r w:rsidRPr="00B548AD">
              <w:rPr>
                <w:rFonts w:ascii="Times New Roman" w:hAnsi="Times New Roman"/>
                <w:sz w:val="24"/>
                <w:szCs w:val="24"/>
              </w:rPr>
              <w:t>27.6</w:t>
            </w:r>
          </w:p>
        </w:tc>
      </w:tr>
      <w:tr w:rsidR="00B548AD" w:rsidRPr="00B548AD" w:rsidTr="00B548AD">
        <w:trPr>
          <w:trHeight w:hRule="exact" w:val="432"/>
          <w:jc w:val="center"/>
        </w:trPr>
        <w:tc>
          <w:tcPr>
            <w:tcW w:w="2368" w:type="dxa"/>
          </w:tcPr>
          <w:p w:rsidR="00B548AD" w:rsidRPr="00B548AD" w:rsidRDefault="00B548AD" w:rsidP="00B548AD">
            <w:pPr>
              <w:spacing w:before="120" w:after="120"/>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Incorrect Declaration</w:t>
            </w:r>
          </w:p>
        </w:tc>
        <w:tc>
          <w:tcPr>
            <w:tcW w:w="1204" w:type="dxa"/>
          </w:tcPr>
          <w:p w:rsidR="00B548AD" w:rsidRPr="00B548AD" w:rsidRDefault="00B548AD" w:rsidP="00B548AD">
            <w:pPr>
              <w:spacing w:before="120" w:after="120"/>
              <w:ind w:left="-322" w:right="230"/>
              <w:jc w:val="right"/>
              <w:rPr>
                <w:rFonts w:ascii="Times New Roman" w:hAnsi="Times New Roman"/>
                <w:sz w:val="24"/>
                <w:szCs w:val="24"/>
              </w:rPr>
            </w:pPr>
            <w:r w:rsidRPr="00B548AD">
              <w:rPr>
                <w:rFonts w:ascii="Times New Roman" w:hAnsi="Times New Roman"/>
                <w:sz w:val="24"/>
                <w:szCs w:val="24"/>
              </w:rPr>
              <w:t>3.5</w:t>
            </w:r>
          </w:p>
        </w:tc>
        <w:tc>
          <w:tcPr>
            <w:tcW w:w="877" w:type="dxa"/>
          </w:tcPr>
          <w:p w:rsidR="00B548AD" w:rsidRPr="00B548AD" w:rsidRDefault="00B548AD" w:rsidP="00B548AD">
            <w:pPr>
              <w:spacing w:before="120" w:after="120"/>
              <w:ind w:left="-266" w:right="107"/>
              <w:jc w:val="right"/>
              <w:rPr>
                <w:rFonts w:ascii="Times New Roman" w:hAnsi="Times New Roman"/>
                <w:sz w:val="24"/>
                <w:szCs w:val="24"/>
              </w:rPr>
            </w:pPr>
          </w:p>
        </w:tc>
        <w:tc>
          <w:tcPr>
            <w:tcW w:w="877" w:type="dxa"/>
          </w:tcPr>
          <w:p w:rsidR="00B548AD" w:rsidRPr="00B548AD" w:rsidRDefault="00B548AD" w:rsidP="00B548AD">
            <w:pPr>
              <w:spacing w:before="120" w:after="120"/>
              <w:ind w:left="-333" w:right="174"/>
              <w:jc w:val="right"/>
              <w:rPr>
                <w:rFonts w:ascii="Times New Roman" w:hAnsi="Times New Roman"/>
                <w:sz w:val="24"/>
                <w:szCs w:val="24"/>
              </w:rPr>
            </w:pPr>
          </w:p>
        </w:tc>
        <w:tc>
          <w:tcPr>
            <w:tcW w:w="0" w:type="auto"/>
          </w:tcPr>
          <w:p w:rsidR="00B548AD" w:rsidRPr="00B548AD" w:rsidRDefault="00B548AD" w:rsidP="00B548AD">
            <w:pPr>
              <w:spacing w:before="120" w:after="120"/>
              <w:ind w:left="-310" w:right="151"/>
              <w:jc w:val="right"/>
              <w:rPr>
                <w:rFonts w:ascii="Times New Roman" w:hAnsi="Times New Roman"/>
                <w:sz w:val="24"/>
                <w:szCs w:val="24"/>
              </w:rPr>
            </w:pPr>
          </w:p>
        </w:tc>
        <w:tc>
          <w:tcPr>
            <w:tcW w:w="877" w:type="dxa"/>
          </w:tcPr>
          <w:p w:rsidR="00B548AD" w:rsidRPr="00B548AD" w:rsidRDefault="00B548AD" w:rsidP="00B548AD">
            <w:pPr>
              <w:spacing w:before="120" w:after="120"/>
              <w:ind w:left="-197" w:right="38"/>
              <w:jc w:val="right"/>
              <w:rPr>
                <w:rFonts w:ascii="Times New Roman" w:hAnsi="Times New Roman"/>
                <w:sz w:val="24"/>
                <w:szCs w:val="24"/>
              </w:rPr>
            </w:pPr>
          </w:p>
        </w:tc>
        <w:tc>
          <w:tcPr>
            <w:tcW w:w="877" w:type="dxa"/>
          </w:tcPr>
          <w:p w:rsidR="00B548AD" w:rsidRPr="00B548AD" w:rsidRDefault="00B548AD" w:rsidP="00B548AD">
            <w:pPr>
              <w:spacing w:before="120" w:after="120"/>
              <w:ind w:left="-264" w:right="105"/>
              <w:jc w:val="right"/>
              <w:rPr>
                <w:rFonts w:ascii="Times New Roman" w:hAnsi="Times New Roman"/>
                <w:sz w:val="24"/>
                <w:szCs w:val="24"/>
              </w:rPr>
            </w:pPr>
          </w:p>
        </w:tc>
        <w:tc>
          <w:tcPr>
            <w:tcW w:w="877" w:type="dxa"/>
          </w:tcPr>
          <w:p w:rsidR="00B548AD" w:rsidRPr="00B548AD" w:rsidRDefault="00B548AD" w:rsidP="00B548AD">
            <w:pPr>
              <w:spacing w:before="120" w:after="120"/>
              <w:ind w:left="-264" w:right="105"/>
              <w:jc w:val="right"/>
              <w:rPr>
                <w:rFonts w:ascii="Times New Roman" w:hAnsi="Times New Roman"/>
                <w:sz w:val="24"/>
                <w:szCs w:val="24"/>
              </w:rPr>
            </w:pPr>
            <w:r w:rsidRPr="00B548AD">
              <w:rPr>
                <w:rFonts w:ascii="Times New Roman" w:hAnsi="Times New Roman"/>
                <w:sz w:val="24"/>
                <w:szCs w:val="24"/>
              </w:rPr>
              <w:t>3.5</w:t>
            </w:r>
          </w:p>
        </w:tc>
      </w:tr>
      <w:tr w:rsidR="00B548AD" w:rsidRPr="00B548AD" w:rsidTr="00B548AD">
        <w:trPr>
          <w:trHeight w:hRule="exact" w:val="432"/>
          <w:jc w:val="center"/>
        </w:trPr>
        <w:tc>
          <w:tcPr>
            <w:tcW w:w="2368" w:type="dxa"/>
          </w:tcPr>
          <w:p w:rsidR="00B548AD" w:rsidRPr="00B548AD" w:rsidRDefault="00B548AD" w:rsidP="00B548AD">
            <w:pPr>
              <w:spacing w:before="120" w:after="240"/>
              <w:rPr>
                <w:rFonts w:ascii="Times New Roman" w:eastAsia="Times New Roman" w:hAnsi="Times New Roman"/>
                <w:color w:val="000000"/>
                <w:sz w:val="24"/>
                <w:szCs w:val="24"/>
              </w:rPr>
            </w:pPr>
            <w:r w:rsidRPr="00B548AD">
              <w:rPr>
                <w:rFonts w:ascii="Times New Roman" w:eastAsia="Times New Roman" w:hAnsi="Times New Roman"/>
                <w:b/>
                <w:color w:val="000000"/>
                <w:sz w:val="24"/>
                <w:szCs w:val="24"/>
              </w:rPr>
              <w:t>Total</w:t>
            </w:r>
          </w:p>
        </w:tc>
        <w:tc>
          <w:tcPr>
            <w:tcW w:w="1204" w:type="dxa"/>
          </w:tcPr>
          <w:p w:rsidR="00B548AD" w:rsidRPr="00B548AD" w:rsidRDefault="00B548AD" w:rsidP="00B548AD">
            <w:pPr>
              <w:spacing w:before="120" w:after="240"/>
              <w:ind w:left="-322" w:right="230"/>
              <w:jc w:val="right"/>
              <w:rPr>
                <w:rFonts w:ascii="Times New Roman" w:hAnsi="Times New Roman"/>
                <w:b/>
                <w:sz w:val="24"/>
                <w:szCs w:val="24"/>
              </w:rPr>
            </w:pPr>
            <w:r w:rsidRPr="00B548AD">
              <w:rPr>
                <w:rFonts w:ascii="Times New Roman" w:hAnsi="Times New Roman"/>
                <w:b/>
                <w:sz w:val="24"/>
                <w:szCs w:val="24"/>
              </w:rPr>
              <w:t>125.8</w:t>
            </w:r>
          </w:p>
        </w:tc>
        <w:tc>
          <w:tcPr>
            <w:tcW w:w="877" w:type="dxa"/>
          </w:tcPr>
          <w:p w:rsidR="00B548AD" w:rsidRPr="00B548AD" w:rsidRDefault="00B548AD" w:rsidP="00B548AD">
            <w:pPr>
              <w:spacing w:before="120" w:after="240"/>
              <w:ind w:left="-266" w:right="107"/>
              <w:jc w:val="right"/>
              <w:rPr>
                <w:rFonts w:ascii="Times New Roman" w:hAnsi="Times New Roman"/>
                <w:b/>
                <w:sz w:val="24"/>
                <w:szCs w:val="24"/>
              </w:rPr>
            </w:pPr>
            <w:r w:rsidRPr="00B548AD">
              <w:rPr>
                <w:rFonts w:ascii="Times New Roman" w:hAnsi="Times New Roman"/>
                <w:b/>
                <w:sz w:val="24"/>
                <w:szCs w:val="24"/>
              </w:rPr>
              <w:t>10.8</w:t>
            </w:r>
          </w:p>
        </w:tc>
        <w:tc>
          <w:tcPr>
            <w:tcW w:w="877" w:type="dxa"/>
          </w:tcPr>
          <w:p w:rsidR="00B548AD" w:rsidRPr="00B548AD" w:rsidRDefault="00B548AD" w:rsidP="00B548AD">
            <w:pPr>
              <w:spacing w:before="120" w:after="240"/>
              <w:ind w:left="-333" w:right="174"/>
              <w:jc w:val="right"/>
              <w:rPr>
                <w:rFonts w:ascii="Times New Roman" w:hAnsi="Times New Roman"/>
                <w:b/>
                <w:sz w:val="24"/>
                <w:szCs w:val="24"/>
              </w:rPr>
            </w:pPr>
            <w:r w:rsidRPr="00B548AD">
              <w:rPr>
                <w:rFonts w:ascii="Times New Roman" w:hAnsi="Times New Roman"/>
                <w:b/>
                <w:sz w:val="24"/>
                <w:szCs w:val="24"/>
              </w:rPr>
              <w:t>15.4</w:t>
            </w:r>
          </w:p>
        </w:tc>
        <w:tc>
          <w:tcPr>
            <w:tcW w:w="0" w:type="auto"/>
          </w:tcPr>
          <w:p w:rsidR="00B548AD" w:rsidRPr="00B548AD" w:rsidRDefault="00B548AD" w:rsidP="00B548AD">
            <w:pPr>
              <w:spacing w:before="120" w:after="240"/>
              <w:ind w:left="-310" w:right="151"/>
              <w:jc w:val="right"/>
              <w:rPr>
                <w:rFonts w:ascii="Times New Roman" w:hAnsi="Times New Roman"/>
                <w:b/>
                <w:sz w:val="24"/>
                <w:szCs w:val="24"/>
              </w:rPr>
            </w:pPr>
            <w:r w:rsidRPr="00B548AD">
              <w:rPr>
                <w:rFonts w:ascii="Times New Roman" w:hAnsi="Times New Roman"/>
                <w:b/>
                <w:sz w:val="24"/>
                <w:szCs w:val="24"/>
              </w:rPr>
              <w:t>54.5</w:t>
            </w:r>
          </w:p>
        </w:tc>
        <w:tc>
          <w:tcPr>
            <w:tcW w:w="877" w:type="dxa"/>
          </w:tcPr>
          <w:p w:rsidR="00B548AD" w:rsidRPr="00B548AD" w:rsidRDefault="00B548AD" w:rsidP="00B548AD">
            <w:pPr>
              <w:spacing w:before="120" w:after="240"/>
              <w:ind w:left="-197" w:right="38"/>
              <w:jc w:val="right"/>
              <w:rPr>
                <w:rFonts w:ascii="Times New Roman" w:hAnsi="Times New Roman"/>
                <w:b/>
                <w:sz w:val="24"/>
                <w:szCs w:val="24"/>
              </w:rPr>
            </w:pPr>
            <w:r w:rsidRPr="00B548AD">
              <w:rPr>
                <w:rFonts w:ascii="Times New Roman" w:hAnsi="Times New Roman"/>
                <w:b/>
                <w:sz w:val="24"/>
                <w:szCs w:val="24"/>
              </w:rPr>
              <w:t>71.3</w:t>
            </w:r>
          </w:p>
        </w:tc>
        <w:tc>
          <w:tcPr>
            <w:tcW w:w="877" w:type="dxa"/>
          </w:tcPr>
          <w:p w:rsidR="00B548AD" w:rsidRPr="00B548AD" w:rsidRDefault="00B548AD" w:rsidP="00B548AD">
            <w:pPr>
              <w:spacing w:before="120" w:after="240"/>
              <w:ind w:left="-264" w:right="105"/>
              <w:jc w:val="right"/>
              <w:rPr>
                <w:rFonts w:ascii="Times New Roman" w:hAnsi="Times New Roman"/>
                <w:b/>
                <w:sz w:val="24"/>
                <w:szCs w:val="24"/>
              </w:rPr>
            </w:pPr>
            <w:r w:rsidRPr="00B548AD">
              <w:rPr>
                <w:rFonts w:ascii="Times New Roman" w:hAnsi="Times New Roman"/>
                <w:b/>
                <w:sz w:val="24"/>
                <w:szCs w:val="24"/>
              </w:rPr>
              <w:t>160.2</w:t>
            </w:r>
          </w:p>
        </w:tc>
        <w:tc>
          <w:tcPr>
            <w:tcW w:w="877" w:type="dxa"/>
          </w:tcPr>
          <w:p w:rsidR="00B548AD" w:rsidRPr="00B548AD" w:rsidRDefault="00B548AD" w:rsidP="00B548AD">
            <w:pPr>
              <w:spacing w:before="120" w:after="240"/>
              <w:ind w:left="-264" w:right="105"/>
              <w:jc w:val="right"/>
              <w:rPr>
                <w:rFonts w:ascii="Times New Roman" w:hAnsi="Times New Roman"/>
                <w:b/>
                <w:sz w:val="24"/>
                <w:szCs w:val="24"/>
              </w:rPr>
            </w:pPr>
            <w:r w:rsidRPr="00B548AD">
              <w:rPr>
                <w:rFonts w:ascii="Times New Roman" w:hAnsi="Times New Roman"/>
                <w:b/>
                <w:sz w:val="24"/>
                <w:szCs w:val="24"/>
              </w:rPr>
              <w:t>438.0</w:t>
            </w:r>
          </w:p>
        </w:tc>
      </w:tr>
    </w:tbl>
    <w:p w:rsidR="00B548AD" w:rsidRPr="00B548AD" w:rsidRDefault="00B548AD" w:rsidP="00B548AD">
      <w:pPr>
        <w:pBdr>
          <w:bottom w:val="single" w:sz="4" w:space="1" w:color="auto"/>
        </w:pBdr>
        <w:spacing w:after="0" w:line="240" w:lineRule="auto"/>
        <w:rPr>
          <w:rFonts w:ascii="Times New Roman" w:hAnsi="Times New Roman"/>
          <w:i/>
          <w:sz w:val="24"/>
          <w:szCs w:val="24"/>
        </w:rPr>
      </w:pPr>
    </w:p>
    <w:p w:rsidR="00B548AD" w:rsidRPr="00B548AD" w:rsidRDefault="00B548AD" w:rsidP="00B548AD">
      <w:pPr>
        <w:spacing w:line="240" w:lineRule="auto"/>
        <w:ind w:left="180"/>
        <w:rPr>
          <w:rFonts w:ascii="Times New Roman" w:hAnsi="Times New Roman"/>
          <w:i/>
          <w:sz w:val="20"/>
          <w:szCs w:val="20"/>
        </w:rPr>
      </w:pPr>
      <w:r w:rsidRPr="00B548AD">
        <w:rPr>
          <w:rFonts w:ascii="Times New Roman" w:hAnsi="Times New Roman"/>
          <w:i/>
          <w:sz w:val="20"/>
          <w:szCs w:val="20"/>
        </w:rPr>
        <w:t xml:space="preserve">Source: Valuation Unit: Arrears July-December 2014 Individual </w:t>
      </w:r>
    </w:p>
    <w:p w:rsidR="00B548AD" w:rsidRPr="00B548AD" w:rsidRDefault="00B548AD" w:rsidP="00B548AD">
      <w:pPr>
        <w:numPr>
          <w:ilvl w:val="0"/>
          <w:numId w:val="29"/>
        </w:numPr>
        <w:spacing w:line="240" w:lineRule="auto"/>
        <w:ind w:left="360"/>
        <w:contextualSpacing/>
        <w:jc w:val="both"/>
        <w:rPr>
          <w:rFonts w:ascii="Times New Roman" w:hAnsi="Times New Roman"/>
          <w:sz w:val="24"/>
          <w:szCs w:val="24"/>
        </w:rPr>
      </w:pPr>
      <w:r w:rsidRPr="00B548AD">
        <w:rPr>
          <w:rFonts w:ascii="Times New Roman" w:hAnsi="Times New Roman"/>
          <w:sz w:val="24"/>
          <w:szCs w:val="24"/>
        </w:rPr>
        <w:lastRenderedPageBreak/>
        <w:t xml:space="preserve">The arrears arose because additional taxes </w:t>
      </w:r>
      <w:proofErr w:type="gramStart"/>
      <w:r w:rsidRPr="00B548AD">
        <w:rPr>
          <w:rFonts w:ascii="Times New Roman" w:hAnsi="Times New Roman"/>
          <w:sz w:val="24"/>
          <w:szCs w:val="24"/>
        </w:rPr>
        <w:t>raised</w:t>
      </w:r>
      <w:proofErr w:type="gramEnd"/>
      <w:r w:rsidRPr="00B548AD">
        <w:rPr>
          <w:rFonts w:ascii="Times New Roman" w:hAnsi="Times New Roman"/>
          <w:sz w:val="24"/>
          <w:szCs w:val="24"/>
        </w:rPr>
        <w:t xml:space="preserve"> after the valuation exercise were not being settled since several years.</w:t>
      </w:r>
    </w:p>
    <w:p w:rsidR="00B548AD" w:rsidRPr="00B548AD" w:rsidRDefault="00B548AD" w:rsidP="00B548AD">
      <w:pPr>
        <w:spacing w:line="240" w:lineRule="auto"/>
        <w:ind w:left="540"/>
        <w:contextualSpacing/>
        <w:jc w:val="both"/>
        <w:rPr>
          <w:rFonts w:ascii="Times New Roman" w:hAnsi="Times New Roman"/>
          <w:sz w:val="24"/>
          <w:szCs w:val="24"/>
        </w:rPr>
      </w:pPr>
    </w:p>
    <w:p w:rsidR="00B548AD" w:rsidRPr="00B548AD" w:rsidRDefault="00B548AD" w:rsidP="00B548AD">
      <w:pPr>
        <w:numPr>
          <w:ilvl w:val="0"/>
          <w:numId w:val="29"/>
        </w:numPr>
        <w:spacing w:after="0" w:line="240" w:lineRule="auto"/>
        <w:ind w:left="360"/>
        <w:contextualSpacing/>
        <w:jc w:val="both"/>
        <w:rPr>
          <w:rFonts w:ascii="Times New Roman" w:hAnsi="Times New Roman"/>
          <w:sz w:val="24"/>
          <w:szCs w:val="24"/>
        </w:rPr>
      </w:pPr>
      <w:r w:rsidRPr="00B548AD">
        <w:rPr>
          <w:rFonts w:ascii="Times New Roman" w:hAnsi="Times New Roman"/>
          <w:sz w:val="24"/>
          <w:szCs w:val="24"/>
        </w:rPr>
        <w:t>Debtors’ position had not much improved. Between 1 January 2010 and 31 December 2014 total Debtors balances have increased from Rs 181 million</w:t>
      </w:r>
      <w:r w:rsidR="003917CC">
        <w:rPr>
          <w:rFonts w:ascii="Times New Roman" w:hAnsi="Times New Roman"/>
          <w:sz w:val="24"/>
          <w:szCs w:val="24"/>
        </w:rPr>
        <w:t xml:space="preserve"> to Rs 440 million. During the p</w:t>
      </w:r>
      <w:r w:rsidRPr="00B548AD">
        <w:rPr>
          <w:rFonts w:ascii="Times New Roman" w:hAnsi="Times New Roman"/>
          <w:sz w:val="24"/>
          <w:szCs w:val="24"/>
        </w:rPr>
        <w:t xml:space="preserve">ast five years, new debtors </w:t>
      </w:r>
      <w:proofErr w:type="spellStart"/>
      <w:r w:rsidRPr="00B548AD">
        <w:rPr>
          <w:rFonts w:ascii="Times New Roman" w:hAnsi="Times New Roman"/>
          <w:sz w:val="24"/>
          <w:szCs w:val="24"/>
        </w:rPr>
        <w:t>totalled</w:t>
      </w:r>
      <w:proofErr w:type="spellEnd"/>
      <w:r w:rsidRPr="00B548AD">
        <w:rPr>
          <w:rFonts w:ascii="Times New Roman" w:hAnsi="Times New Roman"/>
          <w:sz w:val="24"/>
          <w:szCs w:val="24"/>
        </w:rPr>
        <w:t xml:space="preserve"> Rs 453 million, but amount recovered from debtors </w:t>
      </w:r>
      <w:proofErr w:type="spellStart"/>
      <w:r w:rsidRPr="00B548AD">
        <w:rPr>
          <w:rFonts w:ascii="Times New Roman" w:hAnsi="Times New Roman"/>
          <w:sz w:val="24"/>
          <w:szCs w:val="24"/>
        </w:rPr>
        <w:t>totalled</w:t>
      </w:r>
      <w:proofErr w:type="spellEnd"/>
      <w:r w:rsidRPr="00B548AD">
        <w:rPr>
          <w:rFonts w:ascii="Times New Roman" w:hAnsi="Times New Roman"/>
          <w:sz w:val="24"/>
          <w:szCs w:val="24"/>
        </w:rPr>
        <w:t xml:space="preserve"> some Rs 103 million. Debtors of some Rs 91 million have been written off as adjustment.</w:t>
      </w:r>
    </w:p>
    <w:p w:rsidR="00B548AD" w:rsidRPr="00B548AD" w:rsidRDefault="00B548AD" w:rsidP="00B548AD">
      <w:pPr>
        <w:spacing w:after="0" w:line="240" w:lineRule="auto"/>
        <w:contextualSpacing/>
        <w:jc w:val="both"/>
        <w:rPr>
          <w:rFonts w:ascii="Times New Roman" w:hAnsi="Times New Roman"/>
          <w:b/>
          <w:i/>
          <w:sz w:val="24"/>
          <w:szCs w:val="24"/>
          <w:u w:val="single"/>
        </w:rPr>
      </w:pPr>
    </w:p>
    <w:p w:rsidR="00B548AD" w:rsidRPr="00B548AD" w:rsidRDefault="00B548AD" w:rsidP="00B548AD">
      <w:pPr>
        <w:spacing w:after="0" w:line="240" w:lineRule="auto"/>
        <w:contextualSpacing/>
        <w:jc w:val="both"/>
        <w:rPr>
          <w:rFonts w:ascii="Times New Roman" w:hAnsi="Times New Roman"/>
          <w:b/>
          <w:i/>
          <w:sz w:val="24"/>
          <w:szCs w:val="24"/>
          <w:u w:val="single"/>
        </w:rPr>
      </w:pPr>
    </w:p>
    <w:p w:rsidR="00B548AD" w:rsidRPr="00B548AD" w:rsidRDefault="00127C2B" w:rsidP="00B548AD">
      <w:pPr>
        <w:spacing w:after="0" w:line="240" w:lineRule="auto"/>
        <w:contextualSpacing/>
        <w:rPr>
          <w:rFonts w:ascii="Times New Roman" w:hAnsi="Times New Roman"/>
          <w:b/>
          <w:i/>
          <w:sz w:val="24"/>
          <w:szCs w:val="24"/>
        </w:rPr>
      </w:pPr>
      <w:proofErr w:type="gramStart"/>
      <w:r>
        <w:rPr>
          <w:rFonts w:ascii="Times New Roman" w:hAnsi="Times New Roman"/>
          <w:b/>
          <w:i/>
          <w:sz w:val="24"/>
          <w:szCs w:val="24"/>
        </w:rPr>
        <w:t>6.</w:t>
      </w:r>
      <w:r w:rsidR="00BF0E37">
        <w:rPr>
          <w:rFonts w:ascii="Times New Roman" w:hAnsi="Times New Roman"/>
          <w:b/>
          <w:i/>
          <w:sz w:val="24"/>
          <w:szCs w:val="24"/>
        </w:rPr>
        <w:t>5</w:t>
      </w:r>
      <w:r w:rsidR="00B548AD" w:rsidRPr="00B548AD">
        <w:rPr>
          <w:rFonts w:ascii="Times New Roman" w:hAnsi="Times New Roman"/>
          <w:b/>
          <w:i/>
          <w:sz w:val="24"/>
          <w:szCs w:val="24"/>
        </w:rPr>
        <w:t>.2  Debt</w:t>
      </w:r>
      <w:proofErr w:type="gramEnd"/>
      <w:r w:rsidR="00B548AD" w:rsidRPr="00B548AD">
        <w:rPr>
          <w:rFonts w:ascii="Times New Roman" w:hAnsi="Times New Roman"/>
          <w:b/>
          <w:i/>
          <w:sz w:val="24"/>
          <w:szCs w:val="24"/>
        </w:rPr>
        <w:t xml:space="preserve"> Recovery </w:t>
      </w:r>
    </w:p>
    <w:p w:rsidR="00B548AD" w:rsidRPr="00B548AD" w:rsidRDefault="00B548AD" w:rsidP="00B548AD">
      <w:pPr>
        <w:spacing w:line="240" w:lineRule="auto"/>
        <w:contextualSpacing/>
        <w:rPr>
          <w:rFonts w:ascii="Times New Roman" w:hAnsi="Times New Roman"/>
          <w:sz w:val="24"/>
          <w:szCs w:val="24"/>
        </w:rPr>
      </w:pPr>
    </w:p>
    <w:p w:rsidR="00B548AD" w:rsidRPr="00B548AD" w:rsidRDefault="00B548AD" w:rsidP="00B548AD">
      <w:pPr>
        <w:spacing w:line="240" w:lineRule="auto"/>
        <w:contextualSpacing/>
        <w:jc w:val="both"/>
        <w:rPr>
          <w:rFonts w:ascii="Times New Roman" w:hAnsi="Times New Roman"/>
          <w:sz w:val="24"/>
          <w:szCs w:val="24"/>
        </w:rPr>
      </w:pPr>
      <w:r w:rsidRPr="00B548AD">
        <w:rPr>
          <w:rFonts w:ascii="Times New Roman" w:hAnsi="Times New Roman"/>
          <w:sz w:val="24"/>
          <w:szCs w:val="24"/>
        </w:rPr>
        <w:t>There is a low rate of recovery of debtors. Fro</w:t>
      </w:r>
      <w:r w:rsidR="007D6F61">
        <w:rPr>
          <w:rFonts w:ascii="Times New Roman" w:hAnsi="Times New Roman"/>
          <w:sz w:val="24"/>
          <w:szCs w:val="24"/>
        </w:rPr>
        <w:t xml:space="preserve">m </w:t>
      </w:r>
      <w:r w:rsidR="009F1E16">
        <w:rPr>
          <w:rFonts w:ascii="Times New Roman" w:hAnsi="Times New Roman"/>
          <w:sz w:val="24"/>
          <w:szCs w:val="24"/>
        </w:rPr>
        <w:t>January 2010 to December 2014, A</w:t>
      </w:r>
      <w:r w:rsidR="007D6F61">
        <w:rPr>
          <w:rFonts w:ascii="Times New Roman" w:hAnsi="Times New Roman"/>
          <w:sz w:val="24"/>
          <w:szCs w:val="24"/>
        </w:rPr>
        <w:t>mounts</w:t>
      </w:r>
      <w:r w:rsidR="007D6F61" w:rsidRPr="00B548AD">
        <w:rPr>
          <w:rFonts w:ascii="Times New Roman" w:hAnsi="Times New Roman"/>
          <w:sz w:val="24"/>
          <w:szCs w:val="24"/>
        </w:rPr>
        <w:t xml:space="preserve"> </w:t>
      </w:r>
      <w:r w:rsidRPr="00B548AD">
        <w:rPr>
          <w:rFonts w:ascii="Times New Roman" w:hAnsi="Times New Roman"/>
          <w:sz w:val="24"/>
          <w:szCs w:val="24"/>
        </w:rPr>
        <w:t>recovered were between Rs 12 million and Rs 32 million, that is, between six per cent and nine per cent of balance due at start of the year.</w:t>
      </w:r>
    </w:p>
    <w:p w:rsidR="00B548AD" w:rsidRPr="00B548AD" w:rsidRDefault="00B548AD" w:rsidP="00B548AD">
      <w:pPr>
        <w:spacing w:line="240" w:lineRule="auto"/>
        <w:contextualSpacing/>
        <w:rPr>
          <w:rFonts w:ascii="Times New Roman" w:hAnsi="Times New Roman"/>
          <w:b/>
          <w:i/>
          <w:sz w:val="24"/>
          <w:szCs w:val="24"/>
          <w:u w:val="single"/>
        </w:rPr>
      </w:pPr>
    </w:p>
    <w:p w:rsidR="00B548AD" w:rsidRPr="00B548AD" w:rsidRDefault="00B548AD" w:rsidP="00B548AD">
      <w:pPr>
        <w:spacing w:line="240" w:lineRule="auto"/>
        <w:contextualSpacing/>
        <w:rPr>
          <w:rFonts w:ascii="Times New Roman" w:hAnsi="Times New Roman"/>
          <w:b/>
          <w:i/>
          <w:sz w:val="24"/>
          <w:szCs w:val="24"/>
          <w:u w:val="single"/>
        </w:rPr>
      </w:pPr>
    </w:p>
    <w:p w:rsidR="00B548AD" w:rsidRPr="00B548AD" w:rsidRDefault="00127C2B" w:rsidP="00B548AD">
      <w:pPr>
        <w:spacing w:line="240" w:lineRule="auto"/>
        <w:contextualSpacing/>
        <w:rPr>
          <w:rFonts w:ascii="Times New Roman" w:hAnsi="Times New Roman"/>
          <w:b/>
          <w:i/>
          <w:sz w:val="24"/>
          <w:szCs w:val="24"/>
        </w:rPr>
      </w:pPr>
      <w:proofErr w:type="gramStart"/>
      <w:r>
        <w:rPr>
          <w:rFonts w:ascii="Times New Roman" w:hAnsi="Times New Roman"/>
          <w:b/>
          <w:i/>
          <w:sz w:val="24"/>
          <w:szCs w:val="24"/>
        </w:rPr>
        <w:t>6.</w:t>
      </w:r>
      <w:r w:rsidR="00BF0E37">
        <w:rPr>
          <w:rFonts w:ascii="Times New Roman" w:hAnsi="Times New Roman"/>
          <w:b/>
          <w:i/>
          <w:sz w:val="24"/>
          <w:szCs w:val="24"/>
        </w:rPr>
        <w:t>5</w:t>
      </w:r>
      <w:r w:rsidR="00B548AD" w:rsidRPr="00B548AD">
        <w:rPr>
          <w:rFonts w:ascii="Times New Roman" w:hAnsi="Times New Roman"/>
          <w:b/>
          <w:i/>
          <w:sz w:val="24"/>
          <w:szCs w:val="24"/>
        </w:rPr>
        <w:t>.3  Significant</w:t>
      </w:r>
      <w:proofErr w:type="gramEnd"/>
      <w:r w:rsidR="00B548AD" w:rsidRPr="00B548AD">
        <w:rPr>
          <w:rFonts w:ascii="Times New Roman" w:hAnsi="Times New Roman"/>
          <w:b/>
          <w:i/>
          <w:sz w:val="24"/>
          <w:szCs w:val="24"/>
        </w:rPr>
        <w:t xml:space="preserve"> Companies and Individuals as Debtors</w:t>
      </w:r>
    </w:p>
    <w:p w:rsidR="00B548AD" w:rsidRPr="00B548AD" w:rsidRDefault="00B548AD" w:rsidP="00B548AD">
      <w:pPr>
        <w:spacing w:line="240" w:lineRule="auto"/>
        <w:contextualSpacing/>
        <w:rPr>
          <w:rFonts w:ascii="Times New Roman" w:hAnsi="Times New Roman"/>
          <w:sz w:val="24"/>
          <w:szCs w:val="24"/>
        </w:rPr>
      </w:pPr>
    </w:p>
    <w:p w:rsidR="00B548AD" w:rsidRPr="00B548AD" w:rsidRDefault="00B548AD" w:rsidP="00B548AD">
      <w:pPr>
        <w:spacing w:line="240" w:lineRule="auto"/>
        <w:contextualSpacing/>
        <w:jc w:val="both"/>
        <w:rPr>
          <w:rFonts w:ascii="Times New Roman" w:hAnsi="Times New Roman"/>
          <w:sz w:val="24"/>
          <w:szCs w:val="24"/>
        </w:rPr>
      </w:pPr>
      <w:r w:rsidRPr="00B548AD">
        <w:rPr>
          <w:rFonts w:ascii="Times New Roman" w:hAnsi="Times New Roman"/>
          <w:sz w:val="24"/>
          <w:szCs w:val="24"/>
        </w:rPr>
        <w:t xml:space="preserve">569 companies and 6,388 individuals owed </w:t>
      </w:r>
      <w:r w:rsidR="007D6F61">
        <w:rPr>
          <w:rFonts w:ascii="Times New Roman" w:hAnsi="Times New Roman"/>
          <w:sz w:val="24"/>
          <w:szCs w:val="24"/>
        </w:rPr>
        <w:t>RGD</w:t>
      </w:r>
      <w:r w:rsidRPr="00B548AD">
        <w:rPr>
          <w:rFonts w:ascii="Times New Roman" w:hAnsi="Times New Roman"/>
          <w:sz w:val="24"/>
          <w:szCs w:val="24"/>
        </w:rPr>
        <w:t xml:space="preserve"> some Rs 219.3 million and </w:t>
      </w:r>
      <w:r w:rsidRPr="00B548AD">
        <w:rPr>
          <w:rFonts w:ascii="Times New Roman" w:hAnsi="Times New Roman"/>
          <w:sz w:val="24"/>
          <w:szCs w:val="24"/>
        </w:rPr>
        <w:br/>
        <w:t>Rs 218.7 million respectively as at 31 December 2014, as shown in Table 6-4.</w:t>
      </w:r>
    </w:p>
    <w:p w:rsidR="00B548AD" w:rsidRPr="00B548AD" w:rsidRDefault="00B548AD" w:rsidP="00B548AD">
      <w:pPr>
        <w:spacing w:line="240" w:lineRule="auto"/>
        <w:contextualSpacing/>
        <w:jc w:val="both"/>
        <w:rPr>
          <w:rFonts w:ascii="Times New Roman" w:hAnsi="Times New Roman"/>
          <w:sz w:val="24"/>
          <w:szCs w:val="24"/>
        </w:rPr>
      </w:pPr>
    </w:p>
    <w:p w:rsidR="00B548AD" w:rsidRPr="00B548AD" w:rsidRDefault="00B548AD" w:rsidP="00B548AD">
      <w:pPr>
        <w:spacing w:line="240" w:lineRule="auto"/>
        <w:contextualSpacing/>
        <w:jc w:val="both"/>
        <w:rPr>
          <w:rFonts w:ascii="Times New Roman" w:hAnsi="Times New Roman"/>
          <w:sz w:val="24"/>
          <w:szCs w:val="24"/>
        </w:rPr>
      </w:pPr>
      <w:r w:rsidRPr="00B548AD">
        <w:rPr>
          <w:rFonts w:ascii="Times New Roman" w:hAnsi="Times New Roman"/>
          <w:sz w:val="24"/>
          <w:szCs w:val="24"/>
        </w:rPr>
        <w:t xml:space="preserve">22 companies and 16 individuals each owing </w:t>
      </w:r>
      <w:r w:rsidR="007D6F61">
        <w:rPr>
          <w:rFonts w:ascii="Times New Roman" w:hAnsi="Times New Roman"/>
          <w:sz w:val="24"/>
          <w:szCs w:val="24"/>
        </w:rPr>
        <w:t>above</w:t>
      </w:r>
      <w:r w:rsidRPr="00B548AD">
        <w:rPr>
          <w:rFonts w:ascii="Times New Roman" w:hAnsi="Times New Roman"/>
          <w:sz w:val="24"/>
          <w:szCs w:val="24"/>
        </w:rPr>
        <w:t xml:space="preserve"> Rs 1 million</w:t>
      </w:r>
      <w:r w:rsidR="003917CC">
        <w:rPr>
          <w:rFonts w:ascii="Times New Roman" w:hAnsi="Times New Roman"/>
          <w:sz w:val="24"/>
          <w:szCs w:val="24"/>
        </w:rPr>
        <w:t xml:space="preserve"> </w:t>
      </w:r>
      <w:r w:rsidR="007D6F61">
        <w:rPr>
          <w:rFonts w:ascii="Times New Roman" w:hAnsi="Times New Roman"/>
          <w:sz w:val="24"/>
          <w:szCs w:val="24"/>
        </w:rPr>
        <w:t xml:space="preserve">to RGD owed a </w:t>
      </w:r>
      <w:r w:rsidRPr="00B548AD">
        <w:rPr>
          <w:rFonts w:ascii="Times New Roman" w:hAnsi="Times New Roman"/>
          <w:sz w:val="24"/>
          <w:szCs w:val="24"/>
        </w:rPr>
        <w:t xml:space="preserve">total of </w:t>
      </w:r>
      <w:r w:rsidR="0044798D">
        <w:rPr>
          <w:rFonts w:ascii="Times New Roman" w:hAnsi="Times New Roman"/>
          <w:sz w:val="24"/>
          <w:szCs w:val="24"/>
        </w:rPr>
        <w:br/>
      </w:r>
      <w:r w:rsidRPr="00B548AD">
        <w:rPr>
          <w:rFonts w:ascii="Times New Roman" w:hAnsi="Times New Roman"/>
          <w:sz w:val="24"/>
          <w:szCs w:val="24"/>
        </w:rPr>
        <w:t>Rs 223.3 million</w:t>
      </w:r>
      <w:r w:rsidR="007D6F61">
        <w:rPr>
          <w:rFonts w:ascii="Times New Roman" w:hAnsi="Times New Roman"/>
          <w:sz w:val="24"/>
          <w:szCs w:val="24"/>
        </w:rPr>
        <w:t xml:space="preserve"> and which account for</w:t>
      </w:r>
      <w:r w:rsidRPr="00B548AD">
        <w:rPr>
          <w:rFonts w:ascii="Times New Roman" w:hAnsi="Times New Roman"/>
          <w:sz w:val="24"/>
          <w:szCs w:val="24"/>
        </w:rPr>
        <w:t xml:space="preserve"> 51 per cent of the total arrears </w:t>
      </w:r>
      <w:r w:rsidR="007D6F61">
        <w:rPr>
          <w:rFonts w:ascii="Times New Roman" w:hAnsi="Times New Roman"/>
          <w:sz w:val="24"/>
          <w:szCs w:val="24"/>
        </w:rPr>
        <w:t>figure</w:t>
      </w:r>
      <w:r w:rsidRPr="00B548AD">
        <w:rPr>
          <w:rFonts w:ascii="Times New Roman" w:hAnsi="Times New Roman"/>
          <w:sz w:val="24"/>
          <w:szCs w:val="24"/>
        </w:rPr>
        <w:t>.</w:t>
      </w:r>
    </w:p>
    <w:p w:rsidR="00B548AD" w:rsidRPr="00B548AD" w:rsidRDefault="00B548AD" w:rsidP="00B548AD">
      <w:pPr>
        <w:spacing w:line="240" w:lineRule="auto"/>
        <w:ind w:left="720"/>
        <w:contextualSpacing/>
        <w:rPr>
          <w:rFonts w:ascii="Times New Roman" w:hAnsi="Times New Roman"/>
          <w:sz w:val="24"/>
          <w:szCs w:val="24"/>
        </w:rPr>
      </w:pPr>
    </w:p>
    <w:p w:rsidR="00B548AD" w:rsidRPr="00B548AD" w:rsidRDefault="00B548AD" w:rsidP="00B548AD">
      <w:pPr>
        <w:spacing w:line="240" w:lineRule="auto"/>
        <w:jc w:val="center"/>
        <w:rPr>
          <w:rFonts w:ascii="Times New Roman" w:hAnsi="Times New Roman"/>
          <w:i/>
          <w:sz w:val="24"/>
          <w:szCs w:val="24"/>
        </w:rPr>
      </w:pPr>
      <w:r w:rsidRPr="00B548AD">
        <w:rPr>
          <w:rFonts w:ascii="Times New Roman" w:hAnsi="Times New Roman"/>
          <w:i/>
          <w:sz w:val="24"/>
          <w:szCs w:val="24"/>
        </w:rPr>
        <w:t>Table 6-</w:t>
      </w:r>
      <w:proofErr w:type="gramStart"/>
      <w:r w:rsidRPr="00B548AD">
        <w:rPr>
          <w:rFonts w:ascii="Times New Roman" w:hAnsi="Times New Roman"/>
          <w:i/>
          <w:sz w:val="24"/>
          <w:szCs w:val="24"/>
        </w:rPr>
        <w:t>4  Amount</w:t>
      </w:r>
      <w:proofErr w:type="gramEnd"/>
      <w:r w:rsidRPr="00B548AD">
        <w:rPr>
          <w:rFonts w:ascii="Times New Roman" w:hAnsi="Times New Roman"/>
          <w:i/>
          <w:sz w:val="24"/>
          <w:szCs w:val="24"/>
        </w:rPr>
        <w:t xml:space="preserve"> due by Companies and Individuals</w:t>
      </w:r>
    </w:p>
    <w:p w:rsidR="00B548AD" w:rsidRPr="00B548AD" w:rsidRDefault="00B548AD" w:rsidP="00B548AD">
      <w:pPr>
        <w:pBdr>
          <w:top w:val="single" w:sz="4" w:space="1" w:color="auto"/>
        </w:pBdr>
        <w:spacing w:after="0" w:line="240" w:lineRule="auto"/>
        <w:jc w:val="center"/>
        <w:rPr>
          <w:rFonts w:ascii="Times New Roman" w:hAnsi="Times New Roman"/>
          <w:i/>
          <w:sz w:val="24"/>
          <w:szCs w:val="24"/>
        </w:rPr>
      </w:pPr>
    </w:p>
    <w:tbl>
      <w:tblPr>
        <w:tblW w:w="7612" w:type="dxa"/>
        <w:jc w:val="center"/>
        <w:tblInd w:w="637" w:type="dxa"/>
        <w:tblLook w:val="04A0"/>
      </w:tblPr>
      <w:tblGrid>
        <w:gridCol w:w="1251"/>
        <w:gridCol w:w="1186"/>
        <w:gridCol w:w="1787"/>
        <w:gridCol w:w="1556"/>
        <w:gridCol w:w="1832"/>
      </w:tblGrid>
      <w:tr w:rsidR="00B548AD" w:rsidRPr="00B548AD" w:rsidTr="00B548AD">
        <w:trPr>
          <w:trHeight w:val="600"/>
          <w:jc w:val="center"/>
        </w:trPr>
        <w:tc>
          <w:tcPr>
            <w:tcW w:w="1251" w:type="dxa"/>
            <w:shd w:val="clear" w:color="auto" w:fill="auto"/>
            <w:noWrap/>
            <w:vAlign w:val="bottom"/>
            <w:hideMark/>
          </w:tcPr>
          <w:p w:rsidR="00B548AD" w:rsidRPr="00B548AD" w:rsidRDefault="00B548AD" w:rsidP="00B548AD">
            <w:pPr>
              <w:spacing w:after="0" w:line="240" w:lineRule="auto"/>
              <w:jc w:val="center"/>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Category of Debtor</w:t>
            </w:r>
          </w:p>
        </w:tc>
        <w:tc>
          <w:tcPr>
            <w:tcW w:w="1186" w:type="dxa"/>
            <w:shd w:val="clear" w:color="auto" w:fill="auto"/>
            <w:noWrap/>
            <w:vAlign w:val="bottom"/>
            <w:hideMark/>
          </w:tcPr>
          <w:p w:rsidR="00B548AD" w:rsidRPr="00B548AD" w:rsidRDefault="00B548AD" w:rsidP="00B548AD">
            <w:pPr>
              <w:spacing w:after="0" w:line="240" w:lineRule="auto"/>
              <w:jc w:val="center"/>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No. of Debtors</w:t>
            </w:r>
          </w:p>
        </w:tc>
        <w:tc>
          <w:tcPr>
            <w:tcW w:w="1787" w:type="dxa"/>
            <w:shd w:val="clear" w:color="auto" w:fill="auto"/>
            <w:noWrap/>
            <w:vAlign w:val="bottom"/>
            <w:hideMark/>
          </w:tcPr>
          <w:p w:rsidR="00B548AD" w:rsidRPr="00B548AD" w:rsidRDefault="00B548AD" w:rsidP="00B548AD">
            <w:pPr>
              <w:spacing w:after="0" w:line="240" w:lineRule="auto"/>
              <w:jc w:val="center"/>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w:t>
            </w:r>
          </w:p>
          <w:p w:rsidR="00B548AD" w:rsidRPr="00B548AD" w:rsidRDefault="00B548AD" w:rsidP="00B548AD">
            <w:pPr>
              <w:spacing w:after="0" w:line="240" w:lineRule="auto"/>
              <w:jc w:val="center"/>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No. of Debtors</w:t>
            </w:r>
          </w:p>
        </w:tc>
        <w:tc>
          <w:tcPr>
            <w:tcW w:w="1556" w:type="dxa"/>
            <w:shd w:val="clear" w:color="auto" w:fill="auto"/>
            <w:noWrap/>
            <w:vAlign w:val="bottom"/>
            <w:hideMark/>
          </w:tcPr>
          <w:p w:rsidR="00B548AD" w:rsidRPr="00B548AD" w:rsidRDefault="00B548AD" w:rsidP="00B548AD">
            <w:pPr>
              <w:spacing w:after="0" w:line="240" w:lineRule="auto"/>
              <w:jc w:val="center"/>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 xml:space="preserve">Amount Due </w:t>
            </w:r>
          </w:p>
          <w:p w:rsidR="00B548AD" w:rsidRPr="00B548AD" w:rsidRDefault="00B548AD" w:rsidP="00B548AD">
            <w:pPr>
              <w:spacing w:after="0" w:line="240" w:lineRule="auto"/>
              <w:jc w:val="center"/>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Rs million</w:t>
            </w:r>
          </w:p>
        </w:tc>
        <w:tc>
          <w:tcPr>
            <w:tcW w:w="1832" w:type="dxa"/>
            <w:shd w:val="clear" w:color="auto" w:fill="auto"/>
            <w:noWrap/>
            <w:vAlign w:val="bottom"/>
            <w:hideMark/>
          </w:tcPr>
          <w:p w:rsidR="00B548AD" w:rsidRPr="00B548AD" w:rsidRDefault="00B548AD" w:rsidP="00B548AD">
            <w:pPr>
              <w:spacing w:after="0" w:line="240" w:lineRule="auto"/>
              <w:jc w:val="center"/>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 xml:space="preserve">% </w:t>
            </w:r>
          </w:p>
          <w:p w:rsidR="00B548AD" w:rsidRPr="00B548AD" w:rsidRDefault="00B548AD" w:rsidP="00B548AD">
            <w:pPr>
              <w:spacing w:after="0" w:line="240" w:lineRule="auto"/>
              <w:jc w:val="center"/>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of Amount Due</w:t>
            </w:r>
          </w:p>
        </w:tc>
      </w:tr>
      <w:tr w:rsidR="00B548AD" w:rsidRPr="00B548AD" w:rsidTr="00B548AD">
        <w:trPr>
          <w:trHeight w:val="432"/>
          <w:jc w:val="center"/>
        </w:trPr>
        <w:tc>
          <w:tcPr>
            <w:tcW w:w="1251" w:type="dxa"/>
            <w:shd w:val="clear" w:color="auto" w:fill="auto"/>
            <w:noWrap/>
            <w:vAlign w:val="bottom"/>
            <w:hideMark/>
          </w:tcPr>
          <w:p w:rsidR="00B548AD" w:rsidRPr="00B548AD" w:rsidRDefault="00B548AD" w:rsidP="00B548AD">
            <w:pPr>
              <w:spacing w:after="0" w:line="240" w:lineRule="auto"/>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 xml:space="preserve">Company </w:t>
            </w:r>
          </w:p>
        </w:tc>
        <w:tc>
          <w:tcPr>
            <w:tcW w:w="1186" w:type="dxa"/>
            <w:shd w:val="clear" w:color="auto" w:fill="auto"/>
            <w:noWrap/>
            <w:vAlign w:val="bottom"/>
            <w:hideMark/>
          </w:tcPr>
          <w:p w:rsidR="00B548AD" w:rsidRPr="00B548AD" w:rsidRDefault="00B548AD" w:rsidP="00B548AD">
            <w:pPr>
              <w:spacing w:after="0" w:line="240" w:lineRule="auto"/>
              <w:ind w:right="219"/>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569</w:t>
            </w:r>
          </w:p>
        </w:tc>
        <w:tc>
          <w:tcPr>
            <w:tcW w:w="1787" w:type="dxa"/>
            <w:shd w:val="clear" w:color="auto" w:fill="auto"/>
            <w:noWrap/>
            <w:vAlign w:val="bottom"/>
            <w:hideMark/>
          </w:tcPr>
          <w:p w:rsidR="00B548AD" w:rsidRPr="00B548AD" w:rsidRDefault="00B548AD" w:rsidP="00B548AD">
            <w:pPr>
              <w:spacing w:after="0" w:line="240" w:lineRule="auto"/>
              <w:ind w:right="579"/>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8%</w:t>
            </w:r>
          </w:p>
        </w:tc>
        <w:tc>
          <w:tcPr>
            <w:tcW w:w="1556" w:type="dxa"/>
            <w:shd w:val="clear" w:color="auto" w:fill="auto"/>
            <w:noWrap/>
            <w:vAlign w:val="bottom"/>
            <w:hideMark/>
          </w:tcPr>
          <w:p w:rsidR="00B548AD" w:rsidRPr="00B548AD" w:rsidRDefault="00B548AD" w:rsidP="00B548AD">
            <w:pPr>
              <w:spacing w:after="0" w:line="240" w:lineRule="auto"/>
              <w:ind w:right="428"/>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 xml:space="preserve">219.3 </w:t>
            </w:r>
          </w:p>
        </w:tc>
        <w:tc>
          <w:tcPr>
            <w:tcW w:w="1832" w:type="dxa"/>
            <w:shd w:val="clear" w:color="auto" w:fill="auto"/>
            <w:noWrap/>
            <w:vAlign w:val="bottom"/>
            <w:hideMark/>
          </w:tcPr>
          <w:p w:rsidR="00B548AD" w:rsidRPr="00B548AD" w:rsidRDefault="00B548AD" w:rsidP="00B548AD">
            <w:pPr>
              <w:spacing w:after="0" w:line="240" w:lineRule="auto"/>
              <w:ind w:right="399"/>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50%</w:t>
            </w:r>
          </w:p>
        </w:tc>
      </w:tr>
      <w:tr w:rsidR="00B548AD" w:rsidRPr="00B548AD" w:rsidTr="00B548AD">
        <w:trPr>
          <w:trHeight w:val="432"/>
          <w:jc w:val="center"/>
        </w:trPr>
        <w:tc>
          <w:tcPr>
            <w:tcW w:w="1251" w:type="dxa"/>
            <w:shd w:val="clear" w:color="auto" w:fill="auto"/>
            <w:noWrap/>
            <w:vAlign w:val="bottom"/>
            <w:hideMark/>
          </w:tcPr>
          <w:p w:rsidR="00B548AD" w:rsidRPr="00B548AD" w:rsidRDefault="00B548AD" w:rsidP="00B548AD">
            <w:pPr>
              <w:spacing w:after="0" w:line="240" w:lineRule="auto"/>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 xml:space="preserve">Individual </w:t>
            </w:r>
          </w:p>
        </w:tc>
        <w:tc>
          <w:tcPr>
            <w:tcW w:w="1186" w:type="dxa"/>
            <w:shd w:val="clear" w:color="auto" w:fill="auto"/>
            <w:noWrap/>
            <w:vAlign w:val="bottom"/>
            <w:hideMark/>
          </w:tcPr>
          <w:p w:rsidR="00B548AD" w:rsidRPr="00B548AD" w:rsidRDefault="00B548AD" w:rsidP="00B548AD">
            <w:pPr>
              <w:spacing w:after="0" w:line="240" w:lineRule="auto"/>
              <w:ind w:right="219"/>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6,388</w:t>
            </w:r>
          </w:p>
        </w:tc>
        <w:tc>
          <w:tcPr>
            <w:tcW w:w="1787" w:type="dxa"/>
            <w:shd w:val="clear" w:color="auto" w:fill="auto"/>
            <w:noWrap/>
            <w:vAlign w:val="bottom"/>
            <w:hideMark/>
          </w:tcPr>
          <w:p w:rsidR="00B548AD" w:rsidRPr="00B548AD" w:rsidRDefault="00B548AD" w:rsidP="00B548AD">
            <w:pPr>
              <w:spacing w:after="0" w:line="240" w:lineRule="auto"/>
              <w:ind w:right="579"/>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92%</w:t>
            </w:r>
          </w:p>
        </w:tc>
        <w:tc>
          <w:tcPr>
            <w:tcW w:w="1556" w:type="dxa"/>
            <w:shd w:val="clear" w:color="auto" w:fill="auto"/>
            <w:noWrap/>
            <w:vAlign w:val="bottom"/>
            <w:hideMark/>
          </w:tcPr>
          <w:p w:rsidR="00B548AD" w:rsidRPr="00B548AD" w:rsidRDefault="00B548AD" w:rsidP="00B548AD">
            <w:pPr>
              <w:spacing w:after="0" w:line="240" w:lineRule="auto"/>
              <w:ind w:right="428"/>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 xml:space="preserve">218.7 </w:t>
            </w:r>
          </w:p>
        </w:tc>
        <w:tc>
          <w:tcPr>
            <w:tcW w:w="1832" w:type="dxa"/>
            <w:shd w:val="clear" w:color="auto" w:fill="auto"/>
            <w:noWrap/>
            <w:vAlign w:val="bottom"/>
            <w:hideMark/>
          </w:tcPr>
          <w:p w:rsidR="00B548AD" w:rsidRPr="00B548AD" w:rsidRDefault="00B548AD" w:rsidP="00B548AD">
            <w:pPr>
              <w:spacing w:after="0" w:line="240" w:lineRule="auto"/>
              <w:ind w:right="399"/>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50%</w:t>
            </w:r>
          </w:p>
        </w:tc>
      </w:tr>
      <w:tr w:rsidR="00B548AD" w:rsidRPr="00B548AD" w:rsidTr="00B548AD">
        <w:trPr>
          <w:trHeight w:val="432"/>
          <w:jc w:val="center"/>
        </w:trPr>
        <w:tc>
          <w:tcPr>
            <w:tcW w:w="1251" w:type="dxa"/>
            <w:shd w:val="clear" w:color="auto" w:fill="auto"/>
            <w:noWrap/>
            <w:vAlign w:val="bottom"/>
            <w:hideMark/>
          </w:tcPr>
          <w:p w:rsidR="00B548AD" w:rsidRPr="00B548AD" w:rsidRDefault="00B548AD" w:rsidP="00B548AD">
            <w:pPr>
              <w:spacing w:after="0" w:line="240" w:lineRule="auto"/>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Total</w:t>
            </w:r>
          </w:p>
        </w:tc>
        <w:tc>
          <w:tcPr>
            <w:tcW w:w="1186" w:type="dxa"/>
            <w:shd w:val="clear" w:color="auto" w:fill="auto"/>
            <w:noWrap/>
            <w:vAlign w:val="bottom"/>
            <w:hideMark/>
          </w:tcPr>
          <w:p w:rsidR="00B548AD" w:rsidRPr="00B548AD" w:rsidRDefault="00B548AD" w:rsidP="00B548AD">
            <w:pPr>
              <w:spacing w:after="0" w:line="240" w:lineRule="auto"/>
              <w:ind w:right="219"/>
              <w:jc w:val="right"/>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6,957</w:t>
            </w:r>
          </w:p>
        </w:tc>
        <w:tc>
          <w:tcPr>
            <w:tcW w:w="1787" w:type="dxa"/>
            <w:shd w:val="clear" w:color="auto" w:fill="auto"/>
            <w:noWrap/>
            <w:vAlign w:val="bottom"/>
            <w:hideMark/>
          </w:tcPr>
          <w:p w:rsidR="00B548AD" w:rsidRPr="00B548AD" w:rsidRDefault="00B548AD" w:rsidP="00B548AD">
            <w:pPr>
              <w:spacing w:after="0" w:line="240" w:lineRule="auto"/>
              <w:ind w:right="579"/>
              <w:jc w:val="right"/>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100%</w:t>
            </w:r>
          </w:p>
        </w:tc>
        <w:tc>
          <w:tcPr>
            <w:tcW w:w="1556" w:type="dxa"/>
            <w:shd w:val="clear" w:color="auto" w:fill="auto"/>
            <w:noWrap/>
            <w:vAlign w:val="bottom"/>
            <w:hideMark/>
          </w:tcPr>
          <w:p w:rsidR="00B548AD" w:rsidRPr="00B548AD" w:rsidRDefault="00B548AD" w:rsidP="00B548AD">
            <w:pPr>
              <w:spacing w:after="0" w:line="240" w:lineRule="auto"/>
              <w:ind w:right="428"/>
              <w:jc w:val="right"/>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438.0</w:t>
            </w:r>
          </w:p>
        </w:tc>
        <w:tc>
          <w:tcPr>
            <w:tcW w:w="1832" w:type="dxa"/>
            <w:shd w:val="clear" w:color="auto" w:fill="auto"/>
            <w:noWrap/>
            <w:vAlign w:val="bottom"/>
            <w:hideMark/>
          </w:tcPr>
          <w:p w:rsidR="00B548AD" w:rsidRPr="00B548AD" w:rsidRDefault="00B548AD" w:rsidP="00B548AD">
            <w:pPr>
              <w:spacing w:after="0" w:line="240" w:lineRule="auto"/>
              <w:ind w:right="399"/>
              <w:jc w:val="right"/>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100%</w:t>
            </w:r>
          </w:p>
        </w:tc>
      </w:tr>
    </w:tbl>
    <w:p w:rsidR="00B548AD" w:rsidRPr="00B548AD" w:rsidRDefault="00B548AD" w:rsidP="00B548AD">
      <w:pPr>
        <w:pBdr>
          <w:bottom w:val="single" w:sz="4" w:space="1" w:color="auto"/>
        </w:pBdr>
        <w:spacing w:line="240" w:lineRule="auto"/>
        <w:contextualSpacing/>
        <w:rPr>
          <w:rFonts w:ascii="Times New Roman" w:hAnsi="Times New Roman"/>
          <w:sz w:val="24"/>
          <w:szCs w:val="24"/>
        </w:rPr>
      </w:pPr>
    </w:p>
    <w:p w:rsidR="00B548AD" w:rsidRPr="00B548AD" w:rsidRDefault="00B548AD" w:rsidP="00B548AD">
      <w:pPr>
        <w:spacing w:line="240" w:lineRule="auto"/>
        <w:ind w:left="720"/>
        <w:contextualSpacing/>
        <w:rPr>
          <w:rFonts w:ascii="Times New Roman" w:hAnsi="Times New Roman"/>
          <w:sz w:val="24"/>
          <w:szCs w:val="24"/>
        </w:rPr>
      </w:pPr>
    </w:p>
    <w:p w:rsidR="00B548AD" w:rsidRPr="00B548AD" w:rsidRDefault="00B548AD" w:rsidP="00B548AD">
      <w:pPr>
        <w:spacing w:line="240" w:lineRule="auto"/>
        <w:contextualSpacing/>
        <w:jc w:val="both"/>
        <w:rPr>
          <w:rFonts w:ascii="Times New Roman" w:hAnsi="Times New Roman"/>
          <w:sz w:val="24"/>
          <w:szCs w:val="24"/>
        </w:rPr>
      </w:pPr>
      <w:r w:rsidRPr="00B548AD">
        <w:rPr>
          <w:rFonts w:ascii="Times New Roman" w:hAnsi="Times New Roman"/>
          <w:sz w:val="24"/>
          <w:szCs w:val="24"/>
        </w:rPr>
        <w:t>Of the 6,957 debtors, 5,996 of them (86 per cent) owed up to Rs 50,000 each and for a total amount of Rs 80.8 million as of 31 December 2014. Table 6-5 refers.</w:t>
      </w:r>
    </w:p>
    <w:p w:rsidR="00B548AD" w:rsidRPr="00B548AD" w:rsidRDefault="00B548AD" w:rsidP="00B548AD">
      <w:pPr>
        <w:rPr>
          <w:rFonts w:ascii="Times New Roman" w:hAnsi="Times New Roman"/>
          <w:sz w:val="24"/>
          <w:szCs w:val="24"/>
        </w:rPr>
      </w:pPr>
      <w:r w:rsidRPr="00B548AD">
        <w:rPr>
          <w:rFonts w:ascii="Times New Roman" w:hAnsi="Times New Roman"/>
          <w:sz w:val="24"/>
          <w:szCs w:val="24"/>
        </w:rPr>
        <w:br w:type="page"/>
      </w:r>
    </w:p>
    <w:p w:rsidR="00B548AD" w:rsidRPr="00B548AD" w:rsidRDefault="00B548AD" w:rsidP="00B548AD">
      <w:pPr>
        <w:spacing w:line="240" w:lineRule="auto"/>
        <w:jc w:val="center"/>
        <w:rPr>
          <w:rFonts w:ascii="Times New Roman" w:hAnsi="Times New Roman"/>
          <w:i/>
          <w:sz w:val="24"/>
          <w:szCs w:val="24"/>
        </w:rPr>
      </w:pPr>
      <w:r w:rsidRPr="00B548AD">
        <w:rPr>
          <w:rFonts w:ascii="Times New Roman" w:hAnsi="Times New Roman"/>
          <w:i/>
          <w:sz w:val="24"/>
          <w:szCs w:val="24"/>
        </w:rPr>
        <w:lastRenderedPageBreak/>
        <w:t>Table 6-</w:t>
      </w:r>
      <w:proofErr w:type="gramStart"/>
      <w:r w:rsidRPr="00B548AD">
        <w:rPr>
          <w:rFonts w:ascii="Times New Roman" w:hAnsi="Times New Roman"/>
          <w:i/>
          <w:sz w:val="24"/>
          <w:szCs w:val="24"/>
        </w:rPr>
        <w:t>5  Range</w:t>
      </w:r>
      <w:proofErr w:type="gramEnd"/>
      <w:r w:rsidRPr="00B548AD">
        <w:rPr>
          <w:rFonts w:ascii="Times New Roman" w:hAnsi="Times New Roman"/>
          <w:i/>
          <w:sz w:val="24"/>
          <w:szCs w:val="24"/>
        </w:rPr>
        <w:t xml:space="preserve"> of amount due by Companies and Individuals</w:t>
      </w:r>
    </w:p>
    <w:p w:rsidR="00B548AD" w:rsidRPr="00B548AD" w:rsidRDefault="00B548AD" w:rsidP="00B548AD">
      <w:pPr>
        <w:pBdr>
          <w:top w:val="single" w:sz="4" w:space="1" w:color="auto"/>
        </w:pBdr>
        <w:spacing w:after="0" w:line="240" w:lineRule="auto"/>
        <w:jc w:val="center"/>
        <w:rPr>
          <w:rFonts w:ascii="Times New Roman" w:hAnsi="Times New Roman"/>
          <w:i/>
          <w:sz w:val="24"/>
          <w:szCs w:val="24"/>
        </w:rPr>
      </w:pPr>
    </w:p>
    <w:tbl>
      <w:tblPr>
        <w:tblW w:w="8928" w:type="dxa"/>
        <w:jc w:val="center"/>
        <w:tblLook w:val="04A0"/>
      </w:tblPr>
      <w:tblGrid>
        <w:gridCol w:w="2519"/>
        <w:gridCol w:w="1090"/>
        <w:gridCol w:w="1019"/>
        <w:gridCol w:w="948"/>
        <w:gridCol w:w="971"/>
        <w:gridCol w:w="948"/>
        <w:gridCol w:w="1024"/>
        <w:gridCol w:w="561"/>
      </w:tblGrid>
      <w:tr w:rsidR="00B548AD" w:rsidRPr="00B548AD" w:rsidTr="00B548AD">
        <w:trPr>
          <w:trHeight w:hRule="exact" w:val="253"/>
          <w:jc w:val="center"/>
        </w:trPr>
        <w:tc>
          <w:tcPr>
            <w:tcW w:w="2519" w:type="dxa"/>
            <w:shd w:val="clear" w:color="auto" w:fill="auto"/>
            <w:noWrap/>
            <w:vAlign w:val="bottom"/>
            <w:hideMark/>
          </w:tcPr>
          <w:p w:rsidR="00B548AD" w:rsidRPr="00B548AD" w:rsidRDefault="00B548AD" w:rsidP="00B548AD">
            <w:pPr>
              <w:spacing w:after="0" w:line="240" w:lineRule="auto"/>
              <w:rPr>
                <w:rFonts w:ascii="Times New Roman" w:eastAsia="Times New Roman" w:hAnsi="Times New Roman"/>
                <w:b/>
                <w:bCs/>
                <w:color w:val="000000"/>
                <w:sz w:val="20"/>
                <w:szCs w:val="20"/>
              </w:rPr>
            </w:pPr>
            <w:r w:rsidRPr="00B548AD">
              <w:rPr>
                <w:rFonts w:ascii="Times New Roman" w:eastAsia="Times New Roman" w:hAnsi="Times New Roman"/>
                <w:b/>
                <w:bCs/>
                <w:color w:val="000000"/>
                <w:sz w:val="20"/>
                <w:szCs w:val="20"/>
              </w:rPr>
              <w:t>Amount Range</w:t>
            </w:r>
          </w:p>
        </w:tc>
        <w:tc>
          <w:tcPr>
            <w:tcW w:w="2109" w:type="dxa"/>
            <w:gridSpan w:val="2"/>
            <w:shd w:val="clear" w:color="auto" w:fill="auto"/>
            <w:noWrap/>
            <w:vAlign w:val="bottom"/>
            <w:hideMark/>
          </w:tcPr>
          <w:p w:rsidR="00B548AD" w:rsidRPr="00B548AD" w:rsidRDefault="00B548AD" w:rsidP="00B548AD">
            <w:pPr>
              <w:spacing w:after="0" w:line="240" w:lineRule="auto"/>
              <w:jc w:val="center"/>
              <w:rPr>
                <w:rFonts w:ascii="Times New Roman" w:eastAsia="Times New Roman" w:hAnsi="Times New Roman"/>
                <w:b/>
                <w:bCs/>
                <w:color w:val="000000"/>
                <w:sz w:val="20"/>
                <w:szCs w:val="20"/>
              </w:rPr>
            </w:pPr>
            <w:r w:rsidRPr="00B548AD">
              <w:rPr>
                <w:rFonts w:ascii="Times New Roman" w:eastAsia="Times New Roman" w:hAnsi="Times New Roman"/>
                <w:b/>
                <w:bCs/>
                <w:color w:val="000000"/>
                <w:sz w:val="20"/>
                <w:szCs w:val="20"/>
              </w:rPr>
              <w:t>Companies</w:t>
            </w:r>
          </w:p>
        </w:tc>
        <w:tc>
          <w:tcPr>
            <w:tcW w:w="1919" w:type="dxa"/>
            <w:gridSpan w:val="2"/>
            <w:shd w:val="clear" w:color="auto" w:fill="auto"/>
            <w:noWrap/>
            <w:vAlign w:val="bottom"/>
            <w:hideMark/>
          </w:tcPr>
          <w:p w:rsidR="00B548AD" w:rsidRPr="00B548AD" w:rsidRDefault="00B548AD" w:rsidP="00B548AD">
            <w:pPr>
              <w:spacing w:after="0" w:line="240" w:lineRule="auto"/>
              <w:jc w:val="center"/>
              <w:rPr>
                <w:rFonts w:ascii="Times New Roman" w:eastAsia="Times New Roman" w:hAnsi="Times New Roman"/>
                <w:b/>
                <w:bCs/>
                <w:color w:val="000000"/>
                <w:sz w:val="20"/>
                <w:szCs w:val="20"/>
              </w:rPr>
            </w:pPr>
            <w:r w:rsidRPr="00B548AD">
              <w:rPr>
                <w:rFonts w:ascii="Times New Roman" w:eastAsia="Times New Roman" w:hAnsi="Times New Roman"/>
                <w:b/>
                <w:bCs/>
                <w:color w:val="000000"/>
                <w:sz w:val="20"/>
                <w:szCs w:val="20"/>
              </w:rPr>
              <w:t>Individual</w:t>
            </w:r>
          </w:p>
        </w:tc>
        <w:tc>
          <w:tcPr>
            <w:tcW w:w="1972" w:type="dxa"/>
            <w:gridSpan w:val="2"/>
            <w:shd w:val="clear" w:color="auto" w:fill="auto"/>
            <w:noWrap/>
            <w:vAlign w:val="bottom"/>
            <w:hideMark/>
          </w:tcPr>
          <w:p w:rsidR="00B548AD" w:rsidRPr="00B548AD" w:rsidRDefault="00B548AD" w:rsidP="00B548AD">
            <w:pPr>
              <w:spacing w:after="0" w:line="240" w:lineRule="auto"/>
              <w:jc w:val="center"/>
              <w:rPr>
                <w:rFonts w:ascii="Times New Roman" w:eastAsia="Times New Roman" w:hAnsi="Times New Roman"/>
                <w:b/>
                <w:bCs/>
                <w:color w:val="000000"/>
                <w:sz w:val="20"/>
                <w:szCs w:val="20"/>
              </w:rPr>
            </w:pPr>
            <w:r w:rsidRPr="00B548AD">
              <w:rPr>
                <w:rFonts w:ascii="Times New Roman" w:eastAsia="Times New Roman" w:hAnsi="Times New Roman"/>
                <w:b/>
                <w:bCs/>
                <w:color w:val="000000"/>
                <w:sz w:val="20"/>
                <w:szCs w:val="20"/>
              </w:rPr>
              <w:t>Total Debtors</w:t>
            </w:r>
          </w:p>
        </w:tc>
        <w:tc>
          <w:tcPr>
            <w:tcW w:w="561" w:type="dxa"/>
            <w:shd w:val="clear" w:color="auto" w:fill="auto"/>
            <w:noWrap/>
            <w:vAlign w:val="bottom"/>
            <w:hideMark/>
          </w:tcPr>
          <w:p w:rsidR="00B548AD" w:rsidRPr="00B548AD" w:rsidRDefault="00B548AD" w:rsidP="00B548AD">
            <w:pPr>
              <w:spacing w:after="0" w:line="240" w:lineRule="auto"/>
              <w:rPr>
                <w:rFonts w:ascii="Times New Roman" w:eastAsia="Times New Roman" w:hAnsi="Times New Roman"/>
                <w:b/>
                <w:bCs/>
                <w:color w:val="000000"/>
                <w:sz w:val="20"/>
                <w:szCs w:val="20"/>
              </w:rPr>
            </w:pPr>
          </w:p>
        </w:tc>
      </w:tr>
      <w:tr w:rsidR="00B548AD" w:rsidRPr="00B548AD" w:rsidTr="00B548AD">
        <w:trPr>
          <w:trHeight w:hRule="exact" w:val="648"/>
          <w:jc w:val="center"/>
        </w:trPr>
        <w:tc>
          <w:tcPr>
            <w:tcW w:w="2519" w:type="dxa"/>
            <w:shd w:val="clear" w:color="auto" w:fill="auto"/>
            <w:noWrap/>
            <w:vAlign w:val="bottom"/>
          </w:tcPr>
          <w:p w:rsidR="00B548AD" w:rsidRPr="00B548AD" w:rsidRDefault="00B548AD" w:rsidP="00B548AD">
            <w:pPr>
              <w:spacing w:after="0" w:line="240" w:lineRule="auto"/>
              <w:rPr>
                <w:rFonts w:ascii="Times New Roman" w:eastAsia="Times New Roman" w:hAnsi="Times New Roman"/>
                <w:b/>
                <w:bCs/>
                <w:color w:val="000000"/>
                <w:sz w:val="20"/>
                <w:szCs w:val="20"/>
              </w:rPr>
            </w:pPr>
          </w:p>
        </w:tc>
        <w:tc>
          <w:tcPr>
            <w:tcW w:w="1090" w:type="dxa"/>
            <w:shd w:val="clear" w:color="auto" w:fill="auto"/>
            <w:noWrap/>
            <w:vAlign w:val="bottom"/>
          </w:tcPr>
          <w:p w:rsidR="00B548AD" w:rsidRPr="00B548AD" w:rsidRDefault="00B548AD" w:rsidP="00B548AD">
            <w:pPr>
              <w:spacing w:after="0" w:line="240" w:lineRule="auto"/>
              <w:jc w:val="center"/>
              <w:rPr>
                <w:rFonts w:ascii="Times New Roman" w:eastAsia="Times New Roman" w:hAnsi="Times New Roman"/>
                <w:b/>
                <w:bCs/>
                <w:color w:val="000000"/>
                <w:sz w:val="20"/>
                <w:szCs w:val="20"/>
              </w:rPr>
            </w:pPr>
            <w:r w:rsidRPr="00B548AD">
              <w:rPr>
                <w:rFonts w:ascii="Times New Roman" w:eastAsia="Times New Roman" w:hAnsi="Times New Roman"/>
                <w:b/>
                <w:bCs/>
                <w:color w:val="000000"/>
                <w:sz w:val="20"/>
                <w:szCs w:val="20"/>
              </w:rPr>
              <w:t>No. of Debtors</w:t>
            </w:r>
          </w:p>
        </w:tc>
        <w:tc>
          <w:tcPr>
            <w:tcW w:w="1019" w:type="dxa"/>
            <w:shd w:val="clear" w:color="auto" w:fill="auto"/>
            <w:noWrap/>
            <w:vAlign w:val="bottom"/>
          </w:tcPr>
          <w:p w:rsidR="00B548AD" w:rsidRPr="00B548AD" w:rsidRDefault="00B548AD" w:rsidP="00B548AD">
            <w:pPr>
              <w:spacing w:after="0" w:line="240" w:lineRule="auto"/>
              <w:jc w:val="center"/>
              <w:rPr>
                <w:rFonts w:ascii="Times New Roman" w:eastAsia="Times New Roman" w:hAnsi="Times New Roman"/>
                <w:b/>
                <w:bCs/>
                <w:color w:val="000000"/>
                <w:sz w:val="20"/>
                <w:szCs w:val="20"/>
              </w:rPr>
            </w:pPr>
            <w:r w:rsidRPr="00B548AD">
              <w:rPr>
                <w:rFonts w:ascii="Times New Roman" w:eastAsia="Times New Roman" w:hAnsi="Times New Roman"/>
                <w:b/>
                <w:bCs/>
                <w:color w:val="000000"/>
                <w:sz w:val="20"/>
                <w:szCs w:val="20"/>
              </w:rPr>
              <w:t>Amount Rs million</w:t>
            </w:r>
          </w:p>
        </w:tc>
        <w:tc>
          <w:tcPr>
            <w:tcW w:w="948" w:type="dxa"/>
            <w:shd w:val="clear" w:color="auto" w:fill="auto"/>
            <w:noWrap/>
            <w:vAlign w:val="bottom"/>
          </w:tcPr>
          <w:p w:rsidR="00B548AD" w:rsidRPr="00B548AD" w:rsidRDefault="00B548AD" w:rsidP="00B548AD">
            <w:pPr>
              <w:spacing w:after="0" w:line="240" w:lineRule="auto"/>
              <w:jc w:val="center"/>
              <w:rPr>
                <w:rFonts w:ascii="Times New Roman" w:eastAsia="Times New Roman" w:hAnsi="Times New Roman"/>
                <w:b/>
                <w:bCs/>
                <w:color w:val="000000"/>
                <w:sz w:val="20"/>
                <w:szCs w:val="20"/>
              </w:rPr>
            </w:pPr>
            <w:r w:rsidRPr="00B548AD">
              <w:rPr>
                <w:rFonts w:ascii="Times New Roman" w:eastAsia="Times New Roman" w:hAnsi="Times New Roman"/>
                <w:b/>
                <w:bCs/>
                <w:color w:val="000000"/>
                <w:sz w:val="20"/>
                <w:szCs w:val="20"/>
              </w:rPr>
              <w:t>No. of Debtors</w:t>
            </w:r>
          </w:p>
        </w:tc>
        <w:tc>
          <w:tcPr>
            <w:tcW w:w="971" w:type="dxa"/>
            <w:shd w:val="clear" w:color="auto" w:fill="auto"/>
            <w:noWrap/>
            <w:vAlign w:val="bottom"/>
          </w:tcPr>
          <w:p w:rsidR="00B548AD" w:rsidRPr="00B548AD" w:rsidRDefault="00B548AD" w:rsidP="00B548AD">
            <w:pPr>
              <w:spacing w:after="0" w:line="240" w:lineRule="auto"/>
              <w:jc w:val="center"/>
              <w:rPr>
                <w:rFonts w:ascii="Times New Roman" w:eastAsia="Times New Roman" w:hAnsi="Times New Roman"/>
                <w:b/>
                <w:bCs/>
                <w:color w:val="000000"/>
                <w:sz w:val="20"/>
                <w:szCs w:val="20"/>
              </w:rPr>
            </w:pPr>
            <w:r w:rsidRPr="00B548AD">
              <w:rPr>
                <w:rFonts w:ascii="Times New Roman" w:eastAsia="Times New Roman" w:hAnsi="Times New Roman"/>
                <w:b/>
                <w:bCs/>
                <w:color w:val="000000"/>
                <w:sz w:val="20"/>
                <w:szCs w:val="20"/>
              </w:rPr>
              <w:t>Amount Rs million</w:t>
            </w:r>
          </w:p>
        </w:tc>
        <w:tc>
          <w:tcPr>
            <w:tcW w:w="948" w:type="dxa"/>
            <w:shd w:val="clear" w:color="auto" w:fill="auto"/>
            <w:noWrap/>
            <w:vAlign w:val="bottom"/>
          </w:tcPr>
          <w:p w:rsidR="00B548AD" w:rsidRPr="00B548AD" w:rsidRDefault="00B548AD" w:rsidP="00B548AD">
            <w:pPr>
              <w:spacing w:after="0" w:line="240" w:lineRule="auto"/>
              <w:jc w:val="center"/>
              <w:rPr>
                <w:rFonts w:ascii="Times New Roman" w:eastAsia="Times New Roman" w:hAnsi="Times New Roman"/>
                <w:b/>
                <w:bCs/>
                <w:color w:val="000000"/>
                <w:sz w:val="20"/>
                <w:szCs w:val="20"/>
              </w:rPr>
            </w:pPr>
            <w:r w:rsidRPr="00B548AD">
              <w:rPr>
                <w:rFonts w:ascii="Times New Roman" w:eastAsia="Times New Roman" w:hAnsi="Times New Roman"/>
                <w:b/>
                <w:bCs/>
                <w:color w:val="000000"/>
                <w:sz w:val="20"/>
                <w:szCs w:val="20"/>
              </w:rPr>
              <w:t>No. of Debtors</w:t>
            </w:r>
          </w:p>
        </w:tc>
        <w:tc>
          <w:tcPr>
            <w:tcW w:w="1024" w:type="dxa"/>
            <w:shd w:val="clear" w:color="auto" w:fill="auto"/>
            <w:noWrap/>
            <w:vAlign w:val="bottom"/>
          </w:tcPr>
          <w:p w:rsidR="00B548AD" w:rsidRPr="00B548AD" w:rsidRDefault="00B548AD" w:rsidP="00B548AD">
            <w:pPr>
              <w:spacing w:after="0" w:line="240" w:lineRule="auto"/>
              <w:jc w:val="center"/>
              <w:rPr>
                <w:rFonts w:ascii="Times New Roman" w:eastAsia="Times New Roman" w:hAnsi="Times New Roman"/>
                <w:b/>
                <w:bCs/>
                <w:color w:val="000000"/>
                <w:sz w:val="20"/>
                <w:szCs w:val="20"/>
              </w:rPr>
            </w:pPr>
            <w:r w:rsidRPr="00B548AD">
              <w:rPr>
                <w:rFonts w:ascii="Times New Roman" w:eastAsia="Times New Roman" w:hAnsi="Times New Roman"/>
                <w:b/>
                <w:bCs/>
                <w:color w:val="000000"/>
                <w:sz w:val="20"/>
                <w:szCs w:val="20"/>
              </w:rPr>
              <w:t>Amount Rs million</w:t>
            </w:r>
          </w:p>
        </w:tc>
        <w:tc>
          <w:tcPr>
            <w:tcW w:w="561" w:type="dxa"/>
            <w:shd w:val="clear" w:color="auto" w:fill="auto"/>
            <w:noWrap/>
            <w:vAlign w:val="bottom"/>
          </w:tcPr>
          <w:p w:rsidR="00B548AD" w:rsidRPr="00B548AD" w:rsidRDefault="00B548AD" w:rsidP="00B548AD">
            <w:pPr>
              <w:spacing w:after="0" w:line="240" w:lineRule="auto"/>
              <w:jc w:val="center"/>
              <w:rPr>
                <w:rFonts w:ascii="Times New Roman" w:eastAsia="Times New Roman" w:hAnsi="Times New Roman"/>
                <w:b/>
                <w:bCs/>
                <w:color w:val="000000"/>
                <w:sz w:val="20"/>
                <w:szCs w:val="20"/>
              </w:rPr>
            </w:pPr>
            <w:r w:rsidRPr="00B548AD">
              <w:rPr>
                <w:rFonts w:ascii="Times New Roman" w:eastAsia="Times New Roman" w:hAnsi="Times New Roman"/>
                <w:b/>
                <w:bCs/>
                <w:color w:val="000000"/>
                <w:sz w:val="20"/>
                <w:szCs w:val="20"/>
              </w:rPr>
              <w:t>%</w:t>
            </w:r>
          </w:p>
          <w:p w:rsidR="00B548AD" w:rsidRPr="00B548AD" w:rsidRDefault="00B548AD" w:rsidP="00B548AD">
            <w:pPr>
              <w:spacing w:after="0" w:line="240" w:lineRule="auto"/>
              <w:jc w:val="center"/>
              <w:rPr>
                <w:rFonts w:ascii="Times New Roman" w:eastAsia="Times New Roman" w:hAnsi="Times New Roman"/>
                <w:b/>
                <w:bCs/>
                <w:color w:val="000000"/>
                <w:sz w:val="20"/>
                <w:szCs w:val="20"/>
              </w:rPr>
            </w:pPr>
            <w:r w:rsidRPr="00B548AD">
              <w:rPr>
                <w:rFonts w:ascii="Times New Roman" w:eastAsia="Times New Roman" w:hAnsi="Times New Roman"/>
                <w:b/>
                <w:bCs/>
                <w:color w:val="000000"/>
                <w:sz w:val="20"/>
                <w:szCs w:val="20"/>
              </w:rPr>
              <w:t>Due</w:t>
            </w:r>
          </w:p>
        </w:tc>
      </w:tr>
      <w:tr w:rsidR="00B548AD" w:rsidRPr="00B548AD" w:rsidTr="00B548AD">
        <w:trPr>
          <w:trHeight w:hRule="exact" w:val="432"/>
          <w:jc w:val="center"/>
        </w:trPr>
        <w:tc>
          <w:tcPr>
            <w:tcW w:w="2519" w:type="dxa"/>
            <w:shd w:val="clear" w:color="auto" w:fill="auto"/>
            <w:noWrap/>
            <w:vAlign w:val="bottom"/>
            <w:hideMark/>
          </w:tcPr>
          <w:p w:rsidR="00B548AD" w:rsidRPr="00B548AD" w:rsidRDefault="00B548AD" w:rsidP="00B548AD">
            <w:pPr>
              <w:spacing w:after="0" w:line="240" w:lineRule="auto"/>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Rs 1 m and above</w:t>
            </w:r>
          </w:p>
        </w:tc>
        <w:tc>
          <w:tcPr>
            <w:tcW w:w="1090" w:type="dxa"/>
            <w:shd w:val="clear" w:color="auto" w:fill="auto"/>
            <w:noWrap/>
            <w:vAlign w:val="bottom"/>
            <w:hideMark/>
          </w:tcPr>
          <w:p w:rsidR="00B548AD" w:rsidRPr="00B548AD" w:rsidRDefault="00B548AD" w:rsidP="00B548AD">
            <w:pPr>
              <w:spacing w:after="0" w:line="240" w:lineRule="auto"/>
              <w:ind w:left="-317" w:right="320"/>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22</w:t>
            </w:r>
          </w:p>
        </w:tc>
        <w:tc>
          <w:tcPr>
            <w:tcW w:w="1019" w:type="dxa"/>
            <w:shd w:val="clear" w:color="auto" w:fill="auto"/>
            <w:noWrap/>
            <w:vAlign w:val="bottom"/>
            <w:hideMark/>
          </w:tcPr>
          <w:p w:rsidR="00B548AD" w:rsidRPr="00B548AD" w:rsidRDefault="00B548AD" w:rsidP="00B548AD">
            <w:pPr>
              <w:spacing w:after="0" w:line="240" w:lineRule="auto"/>
              <w:ind w:left="-356" w:right="195"/>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174.8</w:t>
            </w:r>
          </w:p>
        </w:tc>
        <w:tc>
          <w:tcPr>
            <w:tcW w:w="948" w:type="dxa"/>
            <w:shd w:val="clear" w:color="auto" w:fill="auto"/>
            <w:noWrap/>
            <w:vAlign w:val="bottom"/>
            <w:hideMark/>
          </w:tcPr>
          <w:p w:rsidR="00B548AD" w:rsidRPr="00B548AD" w:rsidRDefault="00B548AD" w:rsidP="00B548AD">
            <w:pPr>
              <w:spacing w:after="0" w:line="240" w:lineRule="auto"/>
              <w:ind w:left="-321" w:right="176"/>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16</w:t>
            </w:r>
          </w:p>
        </w:tc>
        <w:tc>
          <w:tcPr>
            <w:tcW w:w="971" w:type="dxa"/>
            <w:shd w:val="clear" w:color="auto" w:fill="auto"/>
            <w:noWrap/>
            <w:vAlign w:val="bottom"/>
            <w:hideMark/>
          </w:tcPr>
          <w:p w:rsidR="00B548AD" w:rsidRPr="00B548AD" w:rsidRDefault="00B548AD" w:rsidP="00B548AD">
            <w:pPr>
              <w:tabs>
                <w:tab w:val="left" w:pos="598"/>
              </w:tabs>
              <w:spacing w:after="0" w:line="240" w:lineRule="auto"/>
              <w:ind w:left="-302" w:right="182"/>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48.5</w:t>
            </w:r>
          </w:p>
        </w:tc>
        <w:tc>
          <w:tcPr>
            <w:tcW w:w="948" w:type="dxa"/>
            <w:shd w:val="clear" w:color="auto" w:fill="auto"/>
            <w:noWrap/>
            <w:vAlign w:val="bottom"/>
            <w:hideMark/>
          </w:tcPr>
          <w:p w:rsidR="00B548AD" w:rsidRPr="00B548AD" w:rsidRDefault="00B548AD" w:rsidP="00B548AD">
            <w:pPr>
              <w:spacing w:after="0" w:line="240" w:lineRule="auto"/>
              <w:ind w:left="-218" w:right="153"/>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38</w:t>
            </w:r>
          </w:p>
        </w:tc>
        <w:tc>
          <w:tcPr>
            <w:tcW w:w="1024" w:type="dxa"/>
            <w:shd w:val="clear" w:color="auto" w:fill="auto"/>
            <w:noWrap/>
            <w:vAlign w:val="bottom"/>
            <w:hideMark/>
          </w:tcPr>
          <w:p w:rsidR="00B548AD" w:rsidRPr="00B548AD" w:rsidRDefault="00B548AD" w:rsidP="00B548AD">
            <w:pPr>
              <w:spacing w:after="0" w:line="240" w:lineRule="auto"/>
              <w:ind w:left="-289" w:right="133"/>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223.3</w:t>
            </w:r>
          </w:p>
        </w:tc>
        <w:tc>
          <w:tcPr>
            <w:tcW w:w="561" w:type="dxa"/>
            <w:shd w:val="clear" w:color="auto" w:fill="auto"/>
            <w:noWrap/>
            <w:vAlign w:val="bottom"/>
            <w:hideMark/>
          </w:tcPr>
          <w:p w:rsidR="00B548AD" w:rsidRPr="00B548AD" w:rsidRDefault="00B548AD" w:rsidP="00B548AD">
            <w:pPr>
              <w:spacing w:after="0" w:line="240" w:lineRule="auto"/>
              <w:ind w:left="-349" w:right="164"/>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51</w:t>
            </w:r>
          </w:p>
        </w:tc>
      </w:tr>
      <w:tr w:rsidR="00B548AD" w:rsidRPr="00B548AD" w:rsidTr="00B548AD">
        <w:trPr>
          <w:trHeight w:hRule="exact" w:val="432"/>
          <w:jc w:val="center"/>
        </w:trPr>
        <w:tc>
          <w:tcPr>
            <w:tcW w:w="2519" w:type="dxa"/>
            <w:shd w:val="clear" w:color="auto" w:fill="auto"/>
            <w:noWrap/>
            <w:vAlign w:val="bottom"/>
            <w:hideMark/>
          </w:tcPr>
          <w:p w:rsidR="00B548AD" w:rsidRPr="00B548AD" w:rsidRDefault="00B548AD" w:rsidP="00B548AD">
            <w:pPr>
              <w:spacing w:after="0" w:line="240" w:lineRule="auto"/>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Rs 0.5 m- &lt;Rs 1m</w:t>
            </w:r>
          </w:p>
        </w:tc>
        <w:tc>
          <w:tcPr>
            <w:tcW w:w="1090" w:type="dxa"/>
            <w:shd w:val="clear" w:color="auto" w:fill="auto"/>
            <w:noWrap/>
            <w:vAlign w:val="bottom"/>
            <w:hideMark/>
          </w:tcPr>
          <w:p w:rsidR="00B548AD" w:rsidRPr="00B548AD" w:rsidRDefault="00B548AD" w:rsidP="00B548AD">
            <w:pPr>
              <w:spacing w:after="0" w:line="240" w:lineRule="auto"/>
              <w:ind w:left="-317" w:right="320"/>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18</w:t>
            </w:r>
          </w:p>
        </w:tc>
        <w:tc>
          <w:tcPr>
            <w:tcW w:w="1019" w:type="dxa"/>
            <w:shd w:val="clear" w:color="auto" w:fill="auto"/>
            <w:noWrap/>
            <w:vAlign w:val="bottom"/>
            <w:hideMark/>
          </w:tcPr>
          <w:p w:rsidR="00B548AD" w:rsidRPr="00B548AD" w:rsidRDefault="00B548AD" w:rsidP="00B548AD">
            <w:pPr>
              <w:spacing w:after="0" w:line="240" w:lineRule="auto"/>
              <w:ind w:left="-356" w:right="195"/>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12.4</w:t>
            </w:r>
          </w:p>
        </w:tc>
        <w:tc>
          <w:tcPr>
            <w:tcW w:w="948" w:type="dxa"/>
            <w:shd w:val="clear" w:color="auto" w:fill="auto"/>
            <w:noWrap/>
            <w:vAlign w:val="bottom"/>
            <w:hideMark/>
          </w:tcPr>
          <w:p w:rsidR="00B548AD" w:rsidRPr="00B548AD" w:rsidRDefault="00B548AD" w:rsidP="00B548AD">
            <w:pPr>
              <w:spacing w:after="0" w:line="240" w:lineRule="auto"/>
              <w:ind w:left="-321" w:right="176"/>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22</w:t>
            </w:r>
          </w:p>
        </w:tc>
        <w:tc>
          <w:tcPr>
            <w:tcW w:w="971" w:type="dxa"/>
            <w:shd w:val="clear" w:color="auto" w:fill="auto"/>
            <w:noWrap/>
            <w:vAlign w:val="bottom"/>
            <w:hideMark/>
          </w:tcPr>
          <w:p w:rsidR="00B548AD" w:rsidRPr="00B548AD" w:rsidRDefault="00B548AD" w:rsidP="00B548AD">
            <w:pPr>
              <w:tabs>
                <w:tab w:val="left" w:pos="598"/>
              </w:tabs>
              <w:spacing w:after="0" w:line="240" w:lineRule="auto"/>
              <w:ind w:left="-302" w:right="182"/>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14.3</w:t>
            </w:r>
          </w:p>
        </w:tc>
        <w:tc>
          <w:tcPr>
            <w:tcW w:w="948" w:type="dxa"/>
            <w:shd w:val="clear" w:color="auto" w:fill="auto"/>
            <w:noWrap/>
            <w:vAlign w:val="bottom"/>
            <w:hideMark/>
          </w:tcPr>
          <w:p w:rsidR="00B548AD" w:rsidRPr="00B548AD" w:rsidRDefault="00B548AD" w:rsidP="00B548AD">
            <w:pPr>
              <w:spacing w:after="0" w:line="240" w:lineRule="auto"/>
              <w:ind w:left="-218" w:right="153"/>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40</w:t>
            </w:r>
          </w:p>
        </w:tc>
        <w:tc>
          <w:tcPr>
            <w:tcW w:w="1024" w:type="dxa"/>
            <w:shd w:val="clear" w:color="auto" w:fill="auto"/>
            <w:noWrap/>
            <w:vAlign w:val="bottom"/>
            <w:hideMark/>
          </w:tcPr>
          <w:p w:rsidR="00B548AD" w:rsidRPr="00B548AD" w:rsidRDefault="00B548AD" w:rsidP="00B548AD">
            <w:pPr>
              <w:spacing w:after="0" w:line="240" w:lineRule="auto"/>
              <w:ind w:left="-289" w:right="133"/>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26.7</w:t>
            </w:r>
          </w:p>
        </w:tc>
        <w:tc>
          <w:tcPr>
            <w:tcW w:w="561" w:type="dxa"/>
            <w:shd w:val="clear" w:color="auto" w:fill="auto"/>
            <w:noWrap/>
            <w:vAlign w:val="bottom"/>
            <w:hideMark/>
          </w:tcPr>
          <w:p w:rsidR="00B548AD" w:rsidRPr="00B548AD" w:rsidRDefault="00B548AD" w:rsidP="00B548AD">
            <w:pPr>
              <w:spacing w:after="0" w:line="240" w:lineRule="auto"/>
              <w:ind w:left="-349" w:right="164"/>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6</w:t>
            </w:r>
          </w:p>
        </w:tc>
      </w:tr>
      <w:tr w:rsidR="00B548AD" w:rsidRPr="00B548AD" w:rsidTr="00B548AD">
        <w:trPr>
          <w:trHeight w:hRule="exact" w:val="432"/>
          <w:jc w:val="center"/>
        </w:trPr>
        <w:tc>
          <w:tcPr>
            <w:tcW w:w="2519" w:type="dxa"/>
            <w:shd w:val="clear" w:color="auto" w:fill="auto"/>
            <w:noWrap/>
            <w:vAlign w:val="bottom"/>
            <w:hideMark/>
          </w:tcPr>
          <w:p w:rsidR="00B548AD" w:rsidRPr="00B548AD" w:rsidRDefault="00B548AD" w:rsidP="00B548AD">
            <w:pPr>
              <w:spacing w:after="0" w:line="240" w:lineRule="auto"/>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Rs 0.1m- &lt;Rs0.5m</w:t>
            </w:r>
          </w:p>
        </w:tc>
        <w:tc>
          <w:tcPr>
            <w:tcW w:w="1090" w:type="dxa"/>
            <w:shd w:val="clear" w:color="auto" w:fill="auto"/>
            <w:noWrap/>
            <w:vAlign w:val="bottom"/>
            <w:hideMark/>
          </w:tcPr>
          <w:p w:rsidR="00B548AD" w:rsidRPr="00B548AD" w:rsidRDefault="00B548AD" w:rsidP="00B548AD">
            <w:pPr>
              <w:spacing w:after="0" w:line="240" w:lineRule="auto"/>
              <w:ind w:left="-317" w:right="320"/>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99</w:t>
            </w:r>
          </w:p>
        </w:tc>
        <w:tc>
          <w:tcPr>
            <w:tcW w:w="1019" w:type="dxa"/>
            <w:shd w:val="clear" w:color="auto" w:fill="auto"/>
            <w:noWrap/>
            <w:vAlign w:val="bottom"/>
            <w:hideMark/>
          </w:tcPr>
          <w:p w:rsidR="00B548AD" w:rsidRPr="00B548AD" w:rsidRDefault="00B548AD" w:rsidP="00B548AD">
            <w:pPr>
              <w:spacing w:after="0" w:line="240" w:lineRule="auto"/>
              <w:ind w:left="-356" w:right="195"/>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20.2</w:t>
            </w:r>
          </w:p>
        </w:tc>
        <w:tc>
          <w:tcPr>
            <w:tcW w:w="948" w:type="dxa"/>
            <w:shd w:val="clear" w:color="auto" w:fill="auto"/>
            <w:noWrap/>
            <w:vAlign w:val="bottom"/>
            <w:hideMark/>
          </w:tcPr>
          <w:p w:rsidR="00B548AD" w:rsidRPr="00B548AD" w:rsidRDefault="00B548AD" w:rsidP="00B548AD">
            <w:pPr>
              <w:spacing w:after="0" w:line="240" w:lineRule="auto"/>
              <w:ind w:left="-321" w:right="176"/>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276</w:t>
            </w:r>
          </w:p>
        </w:tc>
        <w:tc>
          <w:tcPr>
            <w:tcW w:w="971" w:type="dxa"/>
            <w:shd w:val="clear" w:color="auto" w:fill="auto"/>
            <w:noWrap/>
            <w:vAlign w:val="bottom"/>
            <w:hideMark/>
          </w:tcPr>
          <w:p w:rsidR="00B548AD" w:rsidRPr="00B548AD" w:rsidRDefault="00B548AD" w:rsidP="00B548AD">
            <w:pPr>
              <w:tabs>
                <w:tab w:val="left" w:pos="598"/>
              </w:tabs>
              <w:spacing w:after="0" w:line="240" w:lineRule="auto"/>
              <w:ind w:left="-302" w:right="182"/>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51.8</w:t>
            </w:r>
          </w:p>
        </w:tc>
        <w:tc>
          <w:tcPr>
            <w:tcW w:w="948" w:type="dxa"/>
            <w:shd w:val="clear" w:color="auto" w:fill="auto"/>
            <w:noWrap/>
            <w:vAlign w:val="bottom"/>
            <w:hideMark/>
          </w:tcPr>
          <w:p w:rsidR="00B548AD" w:rsidRPr="00B548AD" w:rsidRDefault="00B548AD" w:rsidP="00B548AD">
            <w:pPr>
              <w:spacing w:after="0" w:line="240" w:lineRule="auto"/>
              <w:ind w:left="-218" w:right="153"/>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375</w:t>
            </w:r>
          </w:p>
        </w:tc>
        <w:tc>
          <w:tcPr>
            <w:tcW w:w="1024" w:type="dxa"/>
            <w:shd w:val="clear" w:color="auto" w:fill="auto"/>
            <w:noWrap/>
            <w:vAlign w:val="bottom"/>
            <w:hideMark/>
          </w:tcPr>
          <w:p w:rsidR="00B548AD" w:rsidRPr="00B548AD" w:rsidRDefault="00B548AD" w:rsidP="00B548AD">
            <w:pPr>
              <w:spacing w:after="0" w:line="240" w:lineRule="auto"/>
              <w:ind w:left="-289" w:right="133"/>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72.0</w:t>
            </w:r>
          </w:p>
        </w:tc>
        <w:tc>
          <w:tcPr>
            <w:tcW w:w="561" w:type="dxa"/>
            <w:shd w:val="clear" w:color="auto" w:fill="auto"/>
            <w:noWrap/>
            <w:vAlign w:val="bottom"/>
            <w:hideMark/>
          </w:tcPr>
          <w:p w:rsidR="00B548AD" w:rsidRPr="00B548AD" w:rsidRDefault="00B548AD" w:rsidP="00B548AD">
            <w:pPr>
              <w:spacing w:after="0" w:line="240" w:lineRule="auto"/>
              <w:ind w:left="-349" w:right="164"/>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17</w:t>
            </w:r>
          </w:p>
        </w:tc>
      </w:tr>
      <w:tr w:rsidR="00B548AD" w:rsidRPr="00B548AD" w:rsidTr="00B548AD">
        <w:trPr>
          <w:trHeight w:hRule="exact" w:val="432"/>
          <w:jc w:val="center"/>
        </w:trPr>
        <w:tc>
          <w:tcPr>
            <w:tcW w:w="2519" w:type="dxa"/>
            <w:shd w:val="clear" w:color="auto" w:fill="auto"/>
            <w:noWrap/>
            <w:vAlign w:val="bottom"/>
            <w:hideMark/>
          </w:tcPr>
          <w:p w:rsidR="00B548AD" w:rsidRPr="00B548AD" w:rsidRDefault="00B548AD" w:rsidP="00B548AD">
            <w:pPr>
              <w:spacing w:after="0" w:line="240" w:lineRule="auto"/>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Rs 50,000 - &lt;Rs0.1 m</w:t>
            </w:r>
          </w:p>
        </w:tc>
        <w:tc>
          <w:tcPr>
            <w:tcW w:w="1090" w:type="dxa"/>
            <w:shd w:val="clear" w:color="auto" w:fill="auto"/>
            <w:noWrap/>
            <w:vAlign w:val="bottom"/>
            <w:hideMark/>
          </w:tcPr>
          <w:p w:rsidR="00B548AD" w:rsidRPr="00B548AD" w:rsidRDefault="00B548AD" w:rsidP="00B548AD">
            <w:pPr>
              <w:spacing w:after="0" w:line="240" w:lineRule="auto"/>
              <w:ind w:left="-317" w:right="320"/>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76</w:t>
            </w:r>
          </w:p>
        </w:tc>
        <w:tc>
          <w:tcPr>
            <w:tcW w:w="1019" w:type="dxa"/>
            <w:shd w:val="clear" w:color="auto" w:fill="auto"/>
            <w:noWrap/>
            <w:vAlign w:val="bottom"/>
            <w:hideMark/>
          </w:tcPr>
          <w:p w:rsidR="00B548AD" w:rsidRPr="00B548AD" w:rsidRDefault="00B548AD" w:rsidP="00B548AD">
            <w:pPr>
              <w:spacing w:after="0" w:line="240" w:lineRule="auto"/>
              <w:ind w:left="-356" w:right="195"/>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5.3</w:t>
            </w:r>
          </w:p>
        </w:tc>
        <w:tc>
          <w:tcPr>
            <w:tcW w:w="948" w:type="dxa"/>
            <w:shd w:val="clear" w:color="auto" w:fill="auto"/>
            <w:noWrap/>
            <w:vAlign w:val="bottom"/>
            <w:hideMark/>
          </w:tcPr>
          <w:p w:rsidR="00B548AD" w:rsidRPr="00B548AD" w:rsidRDefault="00B548AD" w:rsidP="00B548AD">
            <w:pPr>
              <w:spacing w:after="0" w:line="240" w:lineRule="auto"/>
              <w:ind w:left="-321" w:right="176"/>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432</w:t>
            </w:r>
          </w:p>
        </w:tc>
        <w:tc>
          <w:tcPr>
            <w:tcW w:w="971" w:type="dxa"/>
            <w:shd w:val="clear" w:color="auto" w:fill="auto"/>
            <w:noWrap/>
            <w:vAlign w:val="bottom"/>
            <w:hideMark/>
          </w:tcPr>
          <w:p w:rsidR="00B548AD" w:rsidRPr="00B548AD" w:rsidRDefault="00B548AD" w:rsidP="00B548AD">
            <w:pPr>
              <w:tabs>
                <w:tab w:val="left" w:pos="598"/>
              </w:tabs>
              <w:spacing w:after="0" w:line="240" w:lineRule="auto"/>
              <w:ind w:left="-302" w:right="182"/>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29.9</w:t>
            </w:r>
          </w:p>
        </w:tc>
        <w:tc>
          <w:tcPr>
            <w:tcW w:w="948" w:type="dxa"/>
            <w:shd w:val="clear" w:color="auto" w:fill="auto"/>
            <w:noWrap/>
            <w:vAlign w:val="bottom"/>
            <w:hideMark/>
          </w:tcPr>
          <w:p w:rsidR="00B548AD" w:rsidRPr="00B548AD" w:rsidRDefault="00B548AD" w:rsidP="00B548AD">
            <w:pPr>
              <w:spacing w:after="0" w:line="240" w:lineRule="auto"/>
              <w:ind w:left="-218" w:right="153"/>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508</w:t>
            </w:r>
          </w:p>
        </w:tc>
        <w:tc>
          <w:tcPr>
            <w:tcW w:w="1024" w:type="dxa"/>
            <w:shd w:val="clear" w:color="auto" w:fill="auto"/>
            <w:noWrap/>
            <w:vAlign w:val="bottom"/>
            <w:hideMark/>
          </w:tcPr>
          <w:p w:rsidR="00B548AD" w:rsidRPr="00B548AD" w:rsidRDefault="00B548AD" w:rsidP="00B548AD">
            <w:pPr>
              <w:spacing w:after="0" w:line="240" w:lineRule="auto"/>
              <w:ind w:left="-289" w:right="133"/>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35.2</w:t>
            </w:r>
          </w:p>
        </w:tc>
        <w:tc>
          <w:tcPr>
            <w:tcW w:w="561" w:type="dxa"/>
            <w:shd w:val="clear" w:color="auto" w:fill="auto"/>
            <w:noWrap/>
            <w:vAlign w:val="bottom"/>
            <w:hideMark/>
          </w:tcPr>
          <w:p w:rsidR="00B548AD" w:rsidRPr="00B548AD" w:rsidRDefault="00B548AD" w:rsidP="00B548AD">
            <w:pPr>
              <w:spacing w:after="0" w:line="240" w:lineRule="auto"/>
              <w:ind w:left="-349" w:right="164"/>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8</w:t>
            </w:r>
          </w:p>
        </w:tc>
      </w:tr>
      <w:tr w:rsidR="00B548AD" w:rsidRPr="00B548AD" w:rsidTr="00B548AD">
        <w:trPr>
          <w:trHeight w:hRule="exact" w:val="432"/>
          <w:jc w:val="center"/>
        </w:trPr>
        <w:tc>
          <w:tcPr>
            <w:tcW w:w="2519" w:type="dxa"/>
            <w:shd w:val="clear" w:color="auto" w:fill="auto"/>
            <w:noWrap/>
            <w:vAlign w:val="bottom"/>
            <w:hideMark/>
          </w:tcPr>
          <w:p w:rsidR="00B548AD" w:rsidRPr="00B548AD" w:rsidRDefault="00B548AD" w:rsidP="00B548AD">
            <w:pPr>
              <w:spacing w:after="0" w:line="240" w:lineRule="auto"/>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Rs 10,000 - &lt;Rs 50,000</w:t>
            </w:r>
          </w:p>
        </w:tc>
        <w:tc>
          <w:tcPr>
            <w:tcW w:w="1090" w:type="dxa"/>
            <w:shd w:val="clear" w:color="auto" w:fill="auto"/>
            <w:noWrap/>
            <w:vAlign w:val="bottom"/>
            <w:hideMark/>
          </w:tcPr>
          <w:p w:rsidR="00B548AD" w:rsidRPr="00B548AD" w:rsidRDefault="00B548AD" w:rsidP="00B548AD">
            <w:pPr>
              <w:spacing w:after="0" w:line="240" w:lineRule="auto"/>
              <w:ind w:left="-317" w:right="320"/>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230</w:t>
            </w:r>
          </w:p>
        </w:tc>
        <w:tc>
          <w:tcPr>
            <w:tcW w:w="1019" w:type="dxa"/>
            <w:shd w:val="clear" w:color="auto" w:fill="auto"/>
            <w:noWrap/>
            <w:vAlign w:val="bottom"/>
            <w:hideMark/>
          </w:tcPr>
          <w:p w:rsidR="00B548AD" w:rsidRPr="00B548AD" w:rsidRDefault="00B548AD" w:rsidP="00B548AD">
            <w:pPr>
              <w:spacing w:after="0" w:line="240" w:lineRule="auto"/>
              <w:ind w:left="-356" w:right="195"/>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5.9</w:t>
            </w:r>
          </w:p>
        </w:tc>
        <w:tc>
          <w:tcPr>
            <w:tcW w:w="948" w:type="dxa"/>
            <w:shd w:val="clear" w:color="auto" w:fill="auto"/>
            <w:noWrap/>
            <w:vAlign w:val="bottom"/>
            <w:hideMark/>
          </w:tcPr>
          <w:p w:rsidR="00B548AD" w:rsidRPr="00B548AD" w:rsidRDefault="00B548AD" w:rsidP="00B548AD">
            <w:pPr>
              <w:spacing w:after="0" w:line="240" w:lineRule="auto"/>
              <w:ind w:left="-321" w:right="176"/>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2,725</w:t>
            </w:r>
          </w:p>
        </w:tc>
        <w:tc>
          <w:tcPr>
            <w:tcW w:w="971" w:type="dxa"/>
            <w:shd w:val="clear" w:color="auto" w:fill="auto"/>
            <w:noWrap/>
            <w:vAlign w:val="bottom"/>
            <w:hideMark/>
          </w:tcPr>
          <w:p w:rsidR="00B548AD" w:rsidRPr="00B548AD" w:rsidRDefault="00B548AD" w:rsidP="00B548AD">
            <w:pPr>
              <w:tabs>
                <w:tab w:val="left" w:pos="598"/>
              </w:tabs>
              <w:spacing w:after="0" w:line="240" w:lineRule="auto"/>
              <w:ind w:left="-302" w:right="182"/>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60.4</w:t>
            </w:r>
          </w:p>
        </w:tc>
        <w:tc>
          <w:tcPr>
            <w:tcW w:w="948" w:type="dxa"/>
            <w:shd w:val="clear" w:color="auto" w:fill="auto"/>
            <w:noWrap/>
            <w:vAlign w:val="bottom"/>
            <w:hideMark/>
          </w:tcPr>
          <w:p w:rsidR="00B548AD" w:rsidRPr="00B548AD" w:rsidRDefault="00B548AD" w:rsidP="00B548AD">
            <w:pPr>
              <w:spacing w:after="0" w:line="240" w:lineRule="auto"/>
              <w:ind w:left="-218" w:right="153"/>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2,955</w:t>
            </w:r>
          </w:p>
        </w:tc>
        <w:tc>
          <w:tcPr>
            <w:tcW w:w="1024" w:type="dxa"/>
            <w:shd w:val="clear" w:color="auto" w:fill="auto"/>
            <w:noWrap/>
            <w:vAlign w:val="bottom"/>
            <w:hideMark/>
          </w:tcPr>
          <w:p w:rsidR="00B548AD" w:rsidRPr="00B548AD" w:rsidRDefault="00B548AD" w:rsidP="00B548AD">
            <w:pPr>
              <w:spacing w:after="0" w:line="240" w:lineRule="auto"/>
              <w:ind w:left="-289" w:right="133"/>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66.3</w:t>
            </w:r>
          </w:p>
        </w:tc>
        <w:tc>
          <w:tcPr>
            <w:tcW w:w="561" w:type="dxa"/>
            <w:shd w:val="clear" w:color="auto" w:fill="auto"/>
            <w:noWrap/>
            <w:vAlign w:val="bottom"/>
            <w:hideMark/>
          </w:tcPr>
          <w:p w:rsidR="00B548AD" w:rsidRPr="00B548AD" w:rsidRDefault="00B548AD" w:rsidP="00B548AD">
            <w:pPr>
              <w:spacing w:after="0" w:line="240" w:lineRule="auto"/>
              <w:ind w:left="-349" w:right="164"/>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15</w:t>
            </w:r>
          </w:p>
        </w:tc>
      </w:tr>
      <w:tr w:rsidR="00B548AD" w:rsidRPr="00B548AD" w:rsidTr="00B548AD">
        <w:trPr>
          <w:trHeight w:hRule="exact" w:val="432"/>
          <w:jc w:val="center"/>
        </w:trPr>
        <w:tc>
          <w:tcPr>
            <w:tcW w:w="2519" w:type="dxa"/>
            <w:shd w:val="clear" w:color="auto" w:fill="auto"/>
            <w:noWrap/>
            <w:vAlign w:val="bottom"/>
            <w:hideMark/>
          </w:tcPr>
          <w:p w:rsidR="00B548AD" w:rsidRPr="00B548AD" w:rsidRDefault="00B548AD" w:rsidP="00B548AD">
            <w:pPr>
              <w:spacing w:after="0" w:line="240" w:lineRule="auto"/>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Rs 1 - &lt;Rs 10,000</w:t>
            </w:r>
          </w:p>
        </w:tc>
        <w:tc>
          <w:tcPr>
            <w:tcW w:w="1090" w:type="dxa"/>
            <w:shd w:val="clear" w:color="auto" w:fill="auto"/>
            <w:noWrap/>
            <w:vAlign w:val="bottom"/>
            <w:hideMark/>
          </w:tcPr>
          <w:p w:rsidR="00B548AD" w:rsidRPr="00B548AD" w:rsidRDefault="00B548AD" w:rsidP="00B548AD">
            <w:pPr>
              <w:spacing w:after="0" w:line="240" w:lineRule="auto"/>
              <w:ind w:left="-317" w:right="320"/>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124</w:t>
            </w:r>
          </w:p>
        </w:tc>
        <w:tc>
          <w:tcPr>
            <w:tcW w:w="1019" w:type="dxa"/>
            <w:shd w:val="clear" w:color="auto" w:fill="auto"/>
            <w:noWrap/>
            <w:vAlign w:val="bottom"/>
            <w:hideMark/>
          </w:tcPr>
          <w:p w:rsidR="00B548AD" w:rsidRPr="00B548AD" w:rsidRDefault="00B548AD" w:rsidP="00B548AD">
            <w:pPr>
              <w:spacing w:after="0" w:line="240" w:lineRule="auto"/>
              <w:ind w:left="-356" w:right="195"/>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0.7</w:t>
            </w:r>
          </w:p>
        </w:tc>
        <w:tc>
          <w:tcPr>
            <w:tcW w:w="948" w:type="dxa"/>
            <w:shd w:val="clear" w:color="auto" w:fill="auto"/>
            <w:noWrap/>
            <w:vAlign w:val="bottom"/>
            <w:hideMark/>
          </w:tcPr>
          <w:p w:rsidR="00B548AD" w:rsidRPr="00B548AD" w:rsidRDefault="00B548AD" w:rsidP="00B548AD">
            <w:pPr>
              <w:spacing w:after="0" w:line="240" w:lineRule="auto"/>
              <w:ind w:left="-321" w:right="176"/>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2,917</w:t>
            </w:r>
          </w:p>
        </w:tc>
        <w:tc>
          <w:tcPr>
            <w:tcW w:w="971" w:type="dxa"/>
            <w:shd w:val="clear" w:color="auto" w:fill="auto"/>
            <w:noWrap/>
            <w:vAlign w:val="bottom"/>
            <w:hideMark/>
          </w:tcPr>
          <w:p w:rsidR="00B548AD" w:rsidRPr="00B548AD" w:rsidRDefault="00B548AD" w:rsidP="00B548AD">
            <w:pPr>
              <w:tabs>
                <w:tab w:val="left" w:pos="598"/>
              </w:tabs>
              <w:spacing w:after="0" w:line="240" w:lineRule="auto"/>
              <w:ind w:left="-302" w:right="182"/>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13.8</w:t>
            </w:r>
          </w:p>
        </w:tc>
        <w:tc>
          <w:tcPr>
            <w:tcW w:w="948" w:type="dxa"/>
            <w:shd w:val="clear" w:color="auto" w:fill="auto"/>
            <w:noWrap/>
            <w:vAlign w:val="bottom"/>
            <w:hideMark/>
          </w:tcPr>
          <w:p w:rsidR="00B548AD" w:rsidRPr="00B548AD" w:rsidRDefault="00B548AD" w:rsidP="00B548AD">
            <w:pPr>
              <w:spacing w:after="0" w:line="240" w:lineRule="auto"/>
              <w:ind w:left="-218" w:right="153"/>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3,041</w:t>
            </w:r>
          </w:p>
        </w:tc>
        <w:tc>
          <w:tcPr>
            <w:tcW w:w="1024" w:type="dxa"/>
            <w:shd w:val="clear" w:color="auto" w:fill="auto"/>
            <w:noWrap/>
            <w:vAlign w:val="bottom"/>
            <w:hideMark/>
          </w:tcPr>
          <w:p w:rsidR="00B548AD" w:rsidRPr="00B548AD" w:rsidRDefault="00B548AD" w:rsidP="00B548AD">
            <w:pPr>
              <w:spacing w:after="0" w:line="240" w:lineRule="auto"/>
              <w:ind w:left="-289" w:right="133"/>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14.5</w:t>
            </w:r>
          </w:p>
        </w:tc>
        <w:tc>
          <w:tcPr>
            <w:tcW w:w="561" w:type="dxa"/>
            <w:shd w:val="clear" w:color="auto" w:fill="auto"/>
            <w:noWrap/>
            <w:vAlign w:val="bottom"/>
            <w:hideMark/>
          </w:tcPr>
          <w:p w:rsidR="00B548AD" w:rsidRPr="00B548AD" w:rsidRDefault="00B548AD" w:rsidP="00B548AD">
            <w:pPr>
              <w:spacing w:after="0" w:line="240" w:lineRule="auto"/>
              <w:ind w:left="-349" w:right="164"/>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3</w:t>
            </w:r>
          </w:p>
        </w:tc>
      </w:tr>
      <w:tr w:rsidR="00B548AD" w:rsidRPr="00B548AD" w:rsidTr="00B548AD">
        <w:trPr>
          <w:trHeight w:hRule="exact" w:val="432"/>
          <w:jc w:val="center"/>
        </w:trPr>
        <w:tc>
          <w:tcPr>
            <w:tcW w:w="2519" w:type="dxa"/>
            <w:shd w:val="clear" w:color="auto" w:fill="auto"/>
            <w:noWrap/>
            <w:vAlign w:val="bottom"/>
            <w:hideMark/>
          </w:tcPr>
          <w:p w:rsidR="00B548AD" w:rsidRPr="00B548AD" w:rsidRDefault="00B548AD" w:rsidP="00B548AD">
            <w:pPr>
              <w:spacing w:before="120" w:after="360" w:line="240" w:lineRule="auto"/>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Total</w:t>
            </w:r>
          </w:p>
        </w:tc>
        <w:tc>
          <w:tcPr>
            <w:tcW w:w="1090" w:type="dxa"/>
            <w:shd w:val="clear" w:color="auto" w:fill="auto"/>
            <w:noWrap/>
            <w:vAlign w:val="bottom"/>
            <w:hideMark/>
          </w:tcPr>
          <w:p w:rsidR="00B548AD" w:rsidRPr="00B548AD" w:rsidRDefault="00B548AD" w:rsidP="00B548AD">
            <w:pPr>
              <w:spacing w:before="120" w:after="360" w:line="240" w:lineRule="auto"/>
              <w:ind w:left="-317" w:right="320"/>
              <w:jc w:val="right"/>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569</w:t>
            </w:r>
          </w:p>
        </w:tc>
        <w:tc>
          <w:tcPr>
            <w:tcW w:w="1019" w:type="dxa"/>
            <w:shd w:val="clear" w:color="auto" w:fill="auto"/>
            <w:noWrap/>
            <w:vAlign w:val="bottom"/>
            <w:hideMark/>
          </w:tcPr>
          <w:p w:rsidR="00B548AD" w:rsidRPr="00B548AD" w:rsidRDefault="00B548AD" w:rsidP="00B548AD">
            <w:pPr>
              <w:spacing w:before="120" w:after="360" w:line="240" w:lineRule="auto"/>
              <w:ind w:left="-356" w:right="195"/>
              <w:jc w:val="right"/>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219.3</w:t>
            </w:r>
          </w:p>
        </w:tc>
        <w:tc>
          <w:tcPr>
            <w:tcW w:w="948" w:type="dxa"/>
            <w:shd w:val="clear" w:color="auto" w:fill="auto"/>
            <w:noWrap/>
            <w:vAlign w:val="bottom"/>
            <w:hideMark/>
          </w:tcPr>
          <w:p w:rsidR="00B548AD" w:rsidRPr="00B548AD" w:rsidRDefault="00B548AD" w:rsidP="00B548AD">
            <w:pPr>
              <w:spacing w:before="120" w:after="360" w:line="240" w:lineRule="auto"/>
              <w:ind w:left="-321" w:right="176"/>
              <w:jc w:val="right"/>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6,388</w:t>
            </w:r>
          </w:p>
        </w:tc>
        <w:tc>
          <w:tcPr>
            <w:tcW w:w="971" w:type="dxa"/>
            <w:shd w:val="clear" w:color="auto" w:fill="auto"/>
            <w:noWrap/>
            <w:vAlign w:val="bottom"/>
            <w:hideMark/>
          </w:tcPr>
          <w:p w:rsidR="00B548AD" w:rsidRPr="00B548AD" w:rsidRDefault="00B548AD" w:rsidP="00B548AD">
            <w:pPr>
              <w:tabs>
                <w:tab w:val="left" w:pos="598"/>
              </w:tabs>
              <w:spacing w:before="120" w:after="360" w:line="240" w:lineRule="auto"/>
              <w:ind w:left="-302" w:right="182"/>
              <w:jc w:val="right"/>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218.7</w:t>
            </w:r>
          </w:p>
        </w:tc>
        <w:tc>
          <w:tcPr>
            <w:tcW w:w="948" w:type="dxa"/>
            <w:shd w:val="clear" w:color="auto" w:fill="auto"/>
            <w:noWrap/>
            <w:vAlign w:val="bottom"/>
            <w:hideMark/>
          </w:tcPr>
          <w:p w:rsidR="00B548AD" w:rsidRPr="00B548AD" w:rsidRDefault="00B548AD" w:rsidP="00B548AD">
            <w:pPr>
              <w:spacing w:before="120" w:after="360" w:line="240" w:lineRule="auto"/>
              <w:ind w:left="-218" w:right="153"/>
              <w:jc w:val="right"/>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6,957</w:t>
            </w:r>
          </w:p>
        </w:tc>
        <w:tc>
          <w:tcPr>
            <w:tcW w:w="1024" w:type="dxa"/>
            <w:shd w:val="clear" w:color="auto" w:fill="auto"/>
            <w:noWrap/>
            <w:vAlign w:val="bottom"/>
            <w:hideMark/>
          </w:tcPr>
          <w:p w:rsidR="00B548AD" w:rsidRPr="00B548AD" w:rsidRDefault="00B548AD" w:rsidP="00B548AD">
            <w:pPr>
              <w:spacing w:before="120" w:after="360" w:line="240" w:lineRule="auto"/>
              <w:ind w:left="-289" w:right="133"/>
              <w:jc w:val="right"/>
              <w:rPr>
                <w:rFonts w:ascii="Times New Roman" w:eastAsia="Times New Roman" w:hAnsi="Times New Roman"/>
                <w:b/>
                <w:bCs/>
                <w:color w:val="000000"/>
                <w:sz w:val="24"/>
                <w:szCs w:val="24"/>
              </w:rPr>
            </w:pPr>
            <w:r w:rsidRPr="00B548AD">
              <w:rPr>
                <w:rFonts w:ascii="Times New Roman" w:eastAsia="Times New Roman" w:hAnsi="Times New Roman"/>
                <w:b/>
                <w:bCs/>
                <w:color w:val="000000"/>
                <w:sz w:val="24"/>
                <w:szCs w:val="24"/>
              </w:rPr>
              <w:t>438.0</w:t>
            </w:r>
          </w:p>
        </w:tc>
        <w:tc>
          <w:tcPr>
            <w:tcW w:w="561" w:type="dxa"/>
            <w:shd w:val="clear" w:color="auto" w:fill="auto"/>
            <w:noWrap/>
            <w:vAlign w:val="bottom"/>
            <w:hideMark/>
          </w:tcPr>
          <w:p w:rsidR="00B548AD" w:rsidRPr="00B548AD" w:rsidRDefault="00B548AD" w:rsidP="00B548AD">
            <w:pPr>
              <w:spacing w:before="120" w:after="360" w:line="240" w:lineRule="auto"/>
              <w:ind w:left="-349" w:right="164"/>
              <w:jc w:val="right"/>
              <w:rPr>
                <w:rFonts w:ascii="Times New Roman" w:eastAsia="Times New Roman" w:hAnsi="Times New Roman"/>
                <w:color w:val="000000"/>
                <w:sz w:val="24"/>
                <w:szCs w:val="24"/>
              </w:rPr>
            </w:pPr>
            <w:r w:rsidRPr="00B548AD">
              <w:rPr>
                <w:rFonts w:ascii="Times New Roman" w:eastAsia="Times New Roman" w:hAnsi="Times New Roman"/>
                <w:color w:val="000000"/>
                <w:sz w:val="24"/>
                <w:szCs w:val="24"/>
              </w:rPr>
              <w:t>100</w:t>
            </w:r>
          </w:p>
        </w:tc>
      </w:tr>
    </w:tbl>
    <w:p w:rsidR="00B548AD" w:rsidRPr="00B548AD" w:rsidRDefault="00B548AD" w:rsidP="00B548AD">
      <w:pPr>
        <w:pBdr>
          <w:bottom w:val="single" w:sz="4" w:space="1" w:color="auto"/>
        </w:pBdr>
        <w:spacing w:before="120" w:after="120" w:line="240" w:lineRule="auto"/>
        <w:contextualSpacing/>
        <w:rPr>
          <w:rFonts w:ascii="Times New Roman" w:hAnsi="Times New Roman"/>
          <w:b/>
          <w:i/>
          <w:sz w:val="24"/>
          <w:szCs w:val="24"/>
        </w:rPr>
      </w:pPr>
    </w:p>
    <w:p w:rsidR="00B548AD" w:rsidRPr="00B548AD" w:rsidRDefault="00B548AD" w:rsidP="00B548AD">
      <w:pPr>
        <w:spacing w:before="120" w:after="120" w:line="240" w:lineRule="auto"/>
        <w:contextualSpacing/>
        <w:rPr>
          <w:rFonts w:ascii="Times New Roman" w:hAnsi="Times New Roman"/>
          <w:b/>
          <w:i/>
          <w:sz w:val="24"/>
          <w:szCs w:val="24"/>
        </w:rPr>
      </w:pPr>
    </w:p>
    <w:p w:rsidR="00B548AD" w:rsidRPr="00B548AD" w:rsidRDefault="00B548AD" w:rsidP="00B548AD">
      <w:pPr>
        <w:spacing w:before="120" w:after="120" w:line="240" w:lineRule="auto"/>
        <w:contextualSpacing/>
        <w:rPr>
          <w:rFonts w:ascii="Times New Roman" w:hAnsi="Times New Roman"/>
          <w:b/>
          <w:i/>
          <w:sz w:val="24"/>
          <w:szCs w:val="24"/>
        </w:rPr>
      </w:pPr>
    </w:p>
    <w:p w:rsidR="00B548AD" w:rsidRPr="00B548AD" w:rsidRDefault="00127C2B" w:rsidP="00B548AD">
      <w:pPr>
        <w:spacing w:line="240" w:lineRule="auto"/>
        <w:contextualSpacing/>
        <w:rPr>
          <w:rFonts w:ascii="Times New Roman" w:hAnsi="Times New Roman"/>
          <w:b/>
          <w:i/>
          <w:sz w:val="24"/>
          <w:szCs w:val="24"/>
        </w:rPr>
      </w:pPr>
      <w:proofErr w:type="gramStart"/>
      <w:r>
        <w:rPr>
          <w:rFonts w:ascii="Times New Roman" w:hAnsi="Times New Roman"/>
          <w:b/>
          <w:i/>
          <w:sz w:val="24"/>
          <w:szCs w:val="24"/>
        </w:rPr>
        <w:t>6.</w:t>
      </w:r>
      <w:r w:rsidR="00BF0E37">
        <w:rPr>
          <w:rFonts w:ascii="Times New Roman" w:hAnsi="Times New Roman"/>
          <w:b/>
          <w:i/>
          <w:sz w:val="24"/>
          <w:szCs w:val="24"/>
        </w:rPr>
        <w:t>5</w:t>
      </w:r>
      <w:r w:rsidR="00B548AD" w:rsidRPr="00B548AD">
        <w:rPr>
          <w:rFonts w:ascii="Times New Roman" w:hAnsi="Times New Roman"/>
          <w:b/>
          <w:i/>
          <w:sz w:val="24"/>
          <w:szCs w:val="24"/>
        </w:rPr>
        <w:t>.4  Debtors</w:t>
      </w:r>
      <w:proofErr w:type="gramEnd"/>
      <w:r w:rsidR="00B548AD" w:rsidRPr="00B548AD">
        <w:rPr>
          <w:rFonts w:ascii="Times New Roman" w:hAnsi="Times New Roman"/>
          <w:b/>
          <w:i/>
          <w:sz w:val="24"/>
          <w:szCs w:val="24"/>
        </w:rPr>
        <w:t xml:space="preserve"> </w:t>
      </w:r>
      <w:proofErr w:type="spellStart"/>
      <w:r w:rsidR="00B548AD" w:rsidRPr="00B548AD">
        <w:rPr>
          <w:rFonts w:ascii="Times New Roman" w:hAnsi="Times New Roman"/>
          <w:b/>
          <w:i/>
          <w:sz w:val="24"/>
          <w:szCs w:val="24"/>
        </w:rPr>
        <w:t>Campement</w:t>
      </w:r>
      <w:proofErr w:type="spellEnd"/>
      <w:r w:rsidR="00B548AD" w:rsidRPr="00B548AD">
        <w:rPr>
          <w:rFonts w:ascii="Times New Roman" w:hAnsi="Times New Roman"/>
          <w:b/>
          <w:i/>
          <w:sz w:val="24"/>
          <w:szCs w:val="24"/>
        </w:rPr>
        <w:t xml:space="preserve"> Owners</w:t>
      </w:r>
    </w:p>
    <w:p w:rsidR="00B548AD" w:rsidRPr="00B548AD" w:rsidRDefault="00B548AD" w:rsidP="00B548AD">
      <w:pPr>
        <w:spacing w:line="240" w:lineRule="auto"/>
        <w:contextualSpacing/>
        <w:rPr>
          <w:rFonts w:ascii="Times New Roman" w:hAnsi="Times New Roman"/>
          <w:sz w:val="24"/>
          <w:szCs w:val="24"/>
        </w:rPr>
      </w:pPr>
    </w:p>
    <w:p w:rsidR="00B548AD" w:rsidRPr="00B548AD" w:rsidRDefault="00B548AD" w:rsidP="00B548AD">
      <w:pPr>
        <w:spacing w:after="0" w:line="240" w:lineRule="auto"/>
        <w:contextualSpacing/>
        <w:jc w:val="both"/>
        <w:rPr>
          <w:rFonts w:ascii="Times New Roman" w:hAnsi="Times New Roman"/>
          <w:sz w:val="24"/>
          <w:szCs w:val="24"/>
        </w:rPr>
      </w:pPr>
      <w:r w:rsidRPr="00B548AD">
        <w:rPr>
          <w:rFonts w:ascii="Times New Roman" w:hAnsi="Times New Roman"/>
          <w:sz w:val="24"/>
          <w:szCs w:val="24"/>
        </w:rPr>
        <w:t xml:space="preserve">337 </w:t>
      </w:r>
      <w:proofErr w:type="spellStart"/>
      <w:r w:rsidRPr="00B548AD">
        <w:rPr>
          <w:rFonts w:ascii="Times New Roman" w:hAnsi="Times New Roman"/>
          <w:sz w:val="24"/>
          <w:szCs w:val="24"/>
        </w:rPr>
        <w:t>Campement</w:t>
      </w:r>
      <w:proofErr w:type="spellEnd"/>
      <w:r w:rsidRPr="00B548AD">
        <w:rPr>
          <w:rFonts w:ascii="Times New Roman" w:hAnsi="Times New Roman"/>
          <w:sz w:val="24"/>
          <w:szCs w:val="24"/>
        </w:rPr>
        <w:t xml:space="preserve"> Owners owed taxes for a total amount of Rs 18.9 million as of 31 December 2014, including some Rs 1.9 million for debts relating to years 1982 to 2002.</w:t>
      </w:r>
    </w:p>
    <w:p w:rsidR="00B548AD" w:rsidRPr="00B548AD" w:rsidRDefault="00B548AD" w:rsidP="00B548AD">
      <w:pPr>
        <w:spacing w:after="0" w:line="240" w:lineRule="auto"/>
        <w:contextualSpacing/>
        <w:jc w:val="both"/>
        <w:rPr>
          <w:rFonts w:ascii="Times New Roman" w:hAnsi="Times New Roman"/>
          <w:b/>
          <w:sz w:val="24"/>
          <w:szCs w:val="24"/>
        </w:rPr>
      </w:pPr>
    </w:p>
    <w:p w:rsidR="00B548AD" w:rsidRPr="00B548AD" w:rsidRDefault="00B548AD" w:rsidP="00B548AD">
      <w:pPr>
        <w:spacing w:after="0" w:line="240" w:lineRule="auto"/>
        <w:contextualSpacing/>
        <w:jc w:val="both"/>
        <w:rPr>
          <w:rFonts w:ascii="Times New Roman" w:hAnsi="Times New Roman"/>
          <w:b/>
          <w:sz w:val="24"/>
          <w:szCs w:val="24"/>
        </w:rPr>
      </w:pPr>
    </w:p>
    <w:p w:rsidR="00B548AD" w:rsidRPr="00B548AD" w:rsidRDefault="00127C2B" w:rsidP="00B548AD">
      <w:pPr>
        <w:spacing w:after="0" w:line="240" w:lineRule="auto"/>
        <w:rPr>
          <w:rFonts w:ascii="Times New Roman" w:hAnsi="Times New Roman"/>
          <w:b/>
          <w:i/>
          <w:sz w:val="24"/>
          <w:szCs w:val="24"/>
        </w:rPr>
      </w:pPr>
      <w:proofErr w:type="gramStart"/>
      <w:r>
        <w:rPr>
          <w:rFonts w:ascii="Times New Roman" w:hAnsi="Times New Roman"/>
          <w:b/>
          <w:i/>
          <w:sz w:val="24"/>
          <w:szCs w:val="24"/>
        </w:rPr>
        <w:t>6.</w:t>
      </w:r>
      <w:r w:rsidR="00BF0E37">
        <w:rPr>
          <w:rFonts w:ascii="Times New Roman" w:hAnsi="Times New Roman"/>
          <w:b/>
          <w:i/>
          <w:sz w:val="24"/>
          <w:szCs w:val="24"/>
        </w:rPr>
        <w:t>5</w:t>
      </w:r>
      <w:r w:rsidR="00B548AD" w:rsidRPr="00B548AD">
        <w:rPr>
          <w:rFonts w:ascii="Times New Roman" w:hAnsi="Times New Roman"/>
          <w:b/>
          <w:i/>
          <w:sz w:val="24"/>
          <w:szCs w:val="24"/>
        </w:rPr>
        <w:t>.5  Controlled</w:t>
      </w:r>
      <w:proofErr w:type="gramEnd"/>
      <w:r w:rsidR="00B548AD" w:rsidRPr="00B548AD">
        <w:rPr>
          <w:rFonts w:ascii="Times New Roman" w:hAnsi="Times New Roman"/>
          <w:b/>
          <w:i/>
          <w:sz w:val="24"/>
          <w:szCs w:val="24"/>
        </w:rPr>
        <w:t xml:space="preserve"> Environment for the Management of Debtors at the RGD</w:t>
      </w:r>
    </w:p>
    <w:p w:rsidR="00B548AD" w:rsidRPr="00B548AD" w:rsidRDefault="00B548AD" w:rsidP="00B548AD">
      <w:pPr>
        <w:spacing w:after="0" w:line="240" w:lineRule="auto"/>
        <w:rPr>
          <w:rFonts w:ascii="Times New Roman" w:hAnsi="Times New Roman"/>
          <w:b/>
          <w:i/>
          <w:sz w:val="24"/>
          <w:szCs w:val="24"/>
        </w:rPr>
      </w:pPr>
    </w:p>
    <w:p w:rsidR="00B548AD" w:rsidRPr="00B548AD" w:rsidRDefault="00B548AD" w:rsidP="00B548AD">
      <w:pPr>
        <w:spacing w:after="0" w:line="240" w:lineRule="auto"/>
        <w:jc w:val="both"/>
        <w:rPr>
          <w:rFonts w:ascii="Times New Roman" w:eastAsia="Times New Roman" w:hAnsi="Times New Roman"/>
          <w:sz w:val="24"/>
          <w:szCs w:val="24"/>
        </w:rPr>
      </w:pPr>
      <w:r w:rsidRPr="00B548AD">
        <w:rPr>
          <w:rFonts w:ascii="Times New Roman" w:eastAsia="Times New Roman" w:hAnsi="Times New Roman"/>
          <w:sz w:val="24"/>
          <w:szCs w:val="24"/>
        </w:rPr>
        <w:t xml:space="preserve">The legislation provides for the procedures that RGD needs to follow in case of reassessment and measures to be taken for non- payment of additional tax/duty. </w:t>
      </w:r>
    </w:p>
    <w:p w:rsidR="00B548AD" w:rsidRPr="00B548AD" w:rsidRDefault="00B548AD" w:rsidP="00B548AD">
      <w:pPr>
        <w:spacing w:after="0" w:line="240" w:lineRule="auto"/>
        <w:jc w:val="both"/>
        <w:rPr>
          <w:rFonts w:ascii="Times New Roman" w:eastAsia="Times New Roman" w:hAnsi="Times New Roman"/>
          <w:sz w:val="24"/>
          <w:szCs w:val="24"/>
        </w:rPr>
      </w:pPr>
    </w:p>
    <w:p w:rsidR="00B548AD" w:rsidRPr="00B548AD" w:rsidRDefault="00B548AD" w:rsidP="00B548AD">
      <w:pPr>
        <w:spacing w:after="0" w:line="240" w:lineRule="auto"/>
        <w:jc w:val="both"/>
        <w:rPr>
          <w:rFonts w:ascii="Times New Roman" w:hAnsi="Times New Roman"/>
          <w:sz w:val="24"/>
          <w:szCs w:val="24"/>
        </w:rPr>
      </w:pPr>
      <w:r w:rsidRPr="00B548AD">
        <w:rPr>
          <w:rFonts w:ascii="Times New Roman" w:hAnsi="Times New Roman"/>
          <w:sz w:val="24"/>
          <w:szCs w:val="24"/>
        </w:rPr>
        <w:t xml:space="preserve">Normal recovery of debt involves mainly the departments of Valuation, Enforcement Unit and Objection Unit of RGD. </w:t>
      </w:r>
      <w:r w:rsidR="009F1E16">
        <w:rPr>
          <w:rFonts w:ascii="Times New Roman" w:hAnsi="Times New Roman"/>
          <w:sz w:val="24"/>
          <w:szCs w:val="24"/>
        </w:rPr>
        <w:t xml:space="preserve">The </w:t>
      </w:r>
      <w:r w:rsidRPr="00B548AD">
        <w:rPr>
          <w:rFonts w:ascii="Times New Roman" w:hAnsi="Times New Roman"/>
          <w:sz w:val="24"/>
          <w:szCs w:val="24"/>
        </w:rPr>
        <w:t>RGD also has the support of the Valuation Office, Ministry of Finance and Economic Development (MOFED), the Judiciary, the Attorney General’s Office (AGO), the Commissioner of Police (COP), the Companies Division, etc for the management of debtors. It has to report to the Accountant General on debtors figures every semester.</w:t>
      </w:r>
    </w:p>
    <w:p w:rsidR="00B548AD" w:rsidRPr="00B548AD" w:rsidRDefault="00B548AD" w:rsidP="00B548AD">
      <w:pPr>
        <w:spacing w:after="0" w:line="240" w:lineRule="auto"/>
        <w:jc w:val="both"/>
        <w:rPr>
          <w:rFonts w:ascii="Times New Roman" w:hAnsi="Times New Roman"/>
          <w:sz w:val="24"/>
          <w:szCs w:val="24"/>
        </w:rPr>
      </w:pPr>
    </w:p>
    <w:p w:rsidR="00B548AD" w:rsidRPr="00B548AD" w:rsidRDefault="00B548AD" w:rsidP="00B548AD">
      <w:pPr>
        <w:spacing w:after="0" w:line="240" w:lineRule="auto"/>
        <w:jc w:val="both"/>
        <w:rPr>
          <w:rFonts w:ascii="Times New Roman" w:eastAsia="Times New Roman" w:hAnsi="Times New Roman"/>
          <w:sz w:val="24"/>
          <w:szCs w:val="24"/>
        </w:rPr>
      </w:pPr>
      <w:r w:rsidRPr="00B548AD">
        <w:rPr>
          <w:rFonts w:ascii="Times New Roman" w:eastAsia="Times New Roman" w:hAnsi="Times New Roman"/>
          <w:sz w:val="24"/>
          <w:szCs w:val="24"/>
        </w:rPr>
        <w:t xml:space="preserve">Despite the measures taken by RGD, arrears of revenue were still on the high side because time taken to recover payment was long. </w:t>
      </w:r>
    </w:p>
    <w:p w:rsidR="00B548AD" w:rsidRPr="00B548AD" w:rsidRDefault="00B548AD" w:rsidP="00B548AD">
      <w:pPr>
        <w:spacing w:after="0" w:line="240" w:lineRule="auto"/>
        <w:jc w:val="both"/>
        <w:rPr>
          <w:rFonts w:ascii="Times New Roman" w:eastAsia="Times New Roman" w:hAnsi="Times New Roman"/>
          <w:sz w:val="24"/>
          <w:szCs w:val="24"/>
        </w:rPr>
      </w:pPr>
    </w:p>
    <w:p w:rsidR="00B548AD" w:rsidRPr="00B548AD" w:rsidRDefault="00B548AD" w:rsidP="00B548AD">
      <w:pPr>
        <w:spacing w:after="0" w:line="240" w:lineRule="auto"/>
        <w:rPr>
          <w:rFonts w:ascii="Times New Roman" w:eastAsia="Times New Roman" w:hAnsi="Times New Roman"/>
          <w:b/>
          <w:i/>
          <w:sz w:val="24"/>
          <w:szCs w:val="24"/>
        </w:rPr>
      </w:pPr>
      <w:r w:rsidRPr="00B548AD">
        <w:rPr>
          <w:rFonts w:ascii="Times New Roman" w:eastAsia="Times New Roman" w:hAnsi="Times New Roman"/>
          <w:b/>
          <w:i/>
          <w:sz w:val="24"/>
          <w:szCs w:val="24"/>
        </w:rPr>
        <w:t>Department’s Reply</w:t>
      </w:r>
    </w:p>
    <w:p w:rsidR="00B548AD" w:rsidRPr="00B548AD" w:rsidRDefault="00B548AD" w:rsidP="00B548AD">
      <w:pPr>
        <w:spacing w:after="0" w:line="240" w:lineRule="auto"/>
        <w:rPr>
          <w:rFonts w:ascii="Times New Roman" w:eastAsia="Times New Roman" w:hAnsi="Times New Roman"/>
          <w:b/>
          <w:i/>
          <w:sz w:val="24"/>
          <w:szCs w:val="24"/>
        </w:rPr>
      </w:pPr>
    </w:p>
    <w:p w:rsidR="00B548AD" w:rsidRPr="00B548AD" w:rsidRDefault="00B548AD" w:rsidP="00B548AD">
      <w:pPr>
        <w:spacing w:after="0" w:line="240" w:lineRule="auto"/>
        <w:jc w:val="both"/>
        <w:rPr>
          <w:rFonts w:ascii="Times New Roman" w:eastAsia="Times New Roman" w:hAnsi="Times New Roman"/>
          <w:b/>
          <w:sz w:val="24"/>
          <w:szCs w:val="24"/>
        </w:rPr>
      </w:pPr>
      <w:r w:rsidRPr="00B548AD">
        <w:rPr>
          <w:rFonts w:ascii="Times New Roman" w:eastAsia="Book Antiqua" w:hAnsi="Times New Roman"/>
          <w:sz w:val="24"/>
          <w:szCs w:val="24"/>
        </w:rPr>
        <w:t>Section 44 of the Land Duties and Taxes Act provides that a case is time barred after the expiry of five years from the date on which the deed was registered or from the date of the decision of the Assessment Review Committee. This office has made a proposal to the MOFED to extend the time limit from five to 10 years.</w:t>
      </w:r>
    </w:p>
    <w:p w:rsidR="00B548AD" w:rsidRPr="00B548AD" w:rsidRDefault="00B548AD" w:rsidP="00B548AD">
      <w:pPr>
        <w:spacing w:after="0" w:line="240" w:lineRule="auto"/>
        <w:rPr>
          <w:rFonts w:ascii="Times New Roman" w:hAnsi="Times New Roman"/>
          <w:b/>
          <w:i/>
          <w:sz w:val="24"/>
          <w:szCs w:val="24"/>
          <w:u w:val="single"/>
        </w:rPr>
      </w:pPr>
    </w:p>
    <w:p w:rsidR="00B548AD" w:rsidRPr="00B548AD" w:rsidRDefault="00B548AD" w:rsidP="00B548AD">
      <w:pPr>
        <w:rPr>
          <w:rFonts w:ascii="Times New Roman" w:hAnsi="Times New Roman"/>
          <w:b/>
          <w:i/>
          <w:sz w:val="24"/>
          <w:szCs w:val="24"/>
          <w:u w:val="single"/>
        </w:rPr>
      </w:pPr>
      <w:r w:rsidRPr="00B548AD">
        <w:rPr>
          <w:rFonts w:ascii="Times New Roman" w:hAnsi="Times New Roman"/>
          <w:b/>
          <w:i/>
          <w:sz w:val="24"/>
          <w:szCs w:val="24"/>
          <w:u w:val="single"/>
        </w:rPr>
        <w:br w:type="page"/>
      </w:r>
    </w:p>
    <w:p w:rsidR="00B548AD" w:rsidRPr="00B548AD" w:rsidRDefault="00127C2B" w:rsidP="00B548AD">
      <w:pPr>
        <w:spacing w:after="0" w:line="240" w:lineRule="auto"/>
        <w:rPr>
          <w:rFonts w:ascii="Times New Roman" w:hAnsi="Times New Roman"/>
          <w:sz w:val="24"/>
          <w:szCs w:val="24"/>
        </w:rPr>
      </w:pPr>
      <w:proofErr w:type="gramStart"/>
      <w:r>
        <w:rPr>
          <w:rFonts w:ascii="Times New Roman" w:hAnsi="Times New Roman"/>
          <w:b/>
          <w:i/>
          <w:sz w:val="24"/>
          <w:szCs w:val="24"/>
        </w:rPr>
        <w:lastRenderedPageBreak/>
        <w:t>6.</w:t>
      </w:r>
      <w:r w:rsidR="00BF0E37">
        <w:rPr>
          <w:rFonts w:ascii="Times New Roman" w:hAnsi="Times New Roman"/>
          <w:b/>
          <w:i/>
          <w:sz w:val="24"/>
          <w:szCs w:val="24"/>
        </w:rPr>
        <w:t>5</w:t>
      </w:r>
      <w:r w:rsidR="00B548AD" w:rsidRPr="00B548AD">
        <w:rPr>
          <w:rFonts w:ascii="Times New Roman" w:hAnsi="Times New Roman"/>
          <w:b/>
          <w:i/>
          <w:sz w:val="24"/>
          <w:szCs w:val="24"/>
        </w:rPr>
        <w:t>.6  Untraceable</w:t>
      </w:r>
      <w:proofErr w:type="gramEnd"/>
      <w:r w:rsidR="00B548AD" w:rsidRPr="00B548AD">
        <w:rPr>
          <w:rFonts w:ascii="Times New Roman" w:hAnsi="Times New Roman"/>
          <w:b/>
          <w:i/>
          <w:sz w:val="24"/>
          <w:szCs w:val="24"/>
        </w:rPr>
        <w:t xml:space="preserve"> Debtors</w:t>
      </w:r>
    </w:p>
    <w:p w:rsidR="00B548AD" w:rsidRPr="00B548AD" w:rsidRDefault="00B548AD" w:rsidP="00B548AD">
      <w:pPr>
        <w:spacing w:after="0" w:line="240" w:lineRule="auto"/>
        <w:rPr>
          <w:rFonts w:ascii="Times New Roman" w:hAnsi="Times New Roman"/>
          <w:sz w:val="24"/>
          <w:szCs w:val="24"/>
        </w:rPr>
      </w:pPr>
    </w:p>
    <w:p w:rsidR="00B548AD" w:rsidRPr="00B548AD" w:rsidRDefault="00B548AD" w:rsidP="00B548AD">
      <w:pPr>
        <w:spacing w:after="0" w:line="240" w:lineRule="auto"/>
        <w:rPr>
          <w:rFonts w:ascii="Times New Roman" w:hAnsi="Times New Roman"/>
          <w:sz w:val="24"/>
          <w:szCs w:val="24"/>
        </w:rPr>
      </w:pPr>
      <w:r w:rsidRPr="00B548AD">
        <w:rPr>
          <w:rFonts w:ascii="Times New Roman" w:hAnsi="Times New Roman"/>
          <w:sz w:val="24"/>
          <w:szCs w:val="24"/>
        </w:rPr>
        <w:t xml:space="preserve">There was no proper follow up on Untraceable Debtors by RGD Officers. No report from the COP was available. The register of untraceable debtors was not updated. </w:t>
      </w:r>
    </w:p>
    <w:p w:rsidR="00B548AD" w:rsidRPr="00B548AD" w:rsidRDefault="00B548AD" w:rsidP="00B548AD">
      <w:pPr>
        <w:spacing w:after="0" w:line="240" w:lineRule="auto"/>
        <w:rPr>
          <w:rFonts w:ascii="Times New Roman" w:hAnsi="Times New Roman"/>
          <w:sz w:val="24"/>
          <w:szCs w:val="24"/>
        </w:rPr>
      </w:pPr>
    </w:p>
    <w:p w:rsidR="00B548AD" w:rsidRPr="00B548AD" w:rsidRDefault="00B548AD" w:rsidP="00B548AD">
      <w:pPr>
        <w:spacing w:after="0" w:line="240" w:lineRule="auto"/>
        <w:rPr>
          <w:rFonts w:ascii="Times New Roman" w:hAnsi="Times New Roman"/>
          <w:b/>
          <w:i/>
          <w:sz w:val="24"/>
          <w:szCs w:val="24"/>
        </w:rPr>
      </w:pPr>
      <w:r w:rsidRPr="00B548AD">
        <w:rPr>
          <w:rFonts w:ascii="Times New Roman" w:hAnsi="Times New Roman"/>
          <w:b/>
          <w:i/>
          <w:sz w:val="24"/>
          <w:szCs w:val="24"/>
        </w:rPr>
        <w:t>Department’s Reply</w:t>
      </w:r>
    </w:p>
    <w:p w:rsidR="00B548AD" w:rsidRPr="00B548AD" w:rsidRDefault="00B548AD" w:rsidP="00B548AD">
      <w:pPr>
        <w:spacing w:after="0" w:line="240" w:lineRule="auto"/>
        <w:rPr>
          <w:rFonts w:ascii="Times New Roman" w:hAnsi="Times New Roman"/>
          <w:b/>
          <w:i/>
          <w:sz w:val="24"/>
          <w:szCs w:val="24"/>
        </w:rPr>
      </w:pPr>
    </w:p>
    <w:p w:rsidR="00B548AD" w:rsidRPr="00B548AD" w:rsidRDefault="00B548AD" w:rsidP="00B548AD">
      <w:pPr>
        <w:spacing w:after="0" w:line="240" w:lineRule="auto"/>
        <w:jc w:val="both"/>
        <w:rPr>
          <w:rFonts w:ascii="Times New Roman" w:eastAsia="Book Antiqua" w:hAnsi="Times New Roman"/>
          <w:sz w:val="24"/>
          <w:szCs w:val="24"/>
        </w:rPr>
      </w:pPr>
      <w:r w:rsidRPr="00B548AD">
        <w:rPr>
          <w:rFonts w:ascii="Times New Roman" w:eastAsia="Book Antiqua" w:hAnsi="Times New Roman"/>
          <w:sz w:val="24"/>
          <w:szCs w:val="24"/>
        </w:rPr>
        <w:t xml:space="preserve">Section 36 of the Registration Duty Act has been amended by the Finance Act 2015 to include </w:t>
      </w:r>
      <w:r w:rsidR="007D6F61">
        <w:rPr>
          <w:rFonts w:ascii="Times New Roman" w:eastAsia="Book Antiqua" w:hAnsi="Times New Roman"/>
          <w:sz w:val="24"/>
          <w:szCs w:val="24"/>
        </w:rPr>
        <w:t>the Postal Code in the address of</w:t>
      </w:r>
      <w:r w:rsidRPr="00B548AD">
        <w:rPr>
          <w:rFonts w:ascii="Times New Roman" w:eastAsia="Book Antiqua" w:hAnsi="Times New Roman"/>
          <w:sz w:val="24"/>
          <w:szCs w:val="24"/>
        </w:rPr>
        <w:t xml:space="preserve"> each party to the deed. The Register for </w:t>
      </w:r>
      <w:r w:rsidR="007D6F61" w:rsidRPr="00B548AD">
        <w:rPr>
          <w:rFonts w:ascii="Times New Roman" w:eastAsia="Book Antiqua" w:hAnsi="Times New Roman"/>
          <w:sz w:val="24"/>
          <w:szCs w:val="24"/>
        </w:rPr>
        <w:t>Untraceable Debto</w:t>
      </w:r>
      <w:r w:rsidRPr="00B548AD">
        <w:rPr>
          <w:rFonts w:ascii="Times New Roman" w:eastAsia="Book Antiqua" w:hAnsi="Times New Roman"/>
          <w:sz w:val="24"/>
          <w:szCs w:val="24"/>
        </w:rPr>
        <w:t>r</w:t>
      </w:r>
      <w:r w:rsidR="007D6F61">
        <w:rPr>
          <w:rFonts w:ascii="Times New Roman" w:eastAsia="Book Antiqua" w:hAnsi="Times New Roman"/>
          <w:sz w:val="24"/>
          <w:szCs w:val="24"/>
        </w:rPr>
        <w:t>s</w:t>
      </w:r>
      <w:r w:rsidRPr="00B548AD">
        <w:rPr>
          <w:rFonts w:ascii="Times New Roman" w:eastAsia="Book Antiqua" w:hAnsi="Times New Roman"/>
          <w:sz w:val="24"/>
          <w:szCs w:val="24"/>
        </w:rPr>
        <w:t xml:space="preserve"> and the list in soft copy </w:t>
      </w:r>
      <w:r w:rsidR="007D6F61">
        <w:rPr>
          <w:rFonts w:ascii="Times New Roman" w:eastAsia="Book Antiqua" w:hAnsi="Times New Roman"/>
          <w:sz w:val="24"/>
          <w:szCs w:val="24"/>
        </w:rPr>
        <w:t>are</w:t>
      </w:r>
      <w:r w:rsidRPr="00B548AD">
        <w:rPr>
          <w:rFonts w:ascii="Times New Roman" w:eastAsia="Book Antiqua" w:hAnsi="Times New Roman"/>
          <w:sz w:val="24"/>
          <w:szCs w:val="24"/>
        </w:rPr>
        <w:t xml:space="preserve"> record</w:t>
      </w:r>
      <w:r w:rsidR="007D6F61">
        <w:rPr>
          <w:rFonts w:ascii="Times New Roman" w:eastAsia="Book Antiqua" w:hAnsi="Times New Roman"/>
          <w:sz w:val="24"/>
          <w:szCs w:val="24"/>
        </w:rPr>
        <w:t>s</w:t>
      </w:r>
      <w:r w:rsidRPr="00B548AD">
        <w:rPr>
          <w:rFonts w:ascii="Times New Roman" w:eastAsia="Book Antiqua" w:hAnsi="Times New Roman"/>
          <w:sz w:val="24"/>
          <w:szCs w:val="24"/>
        </w:rPr>
        <w:t xml:space="preserve"> of cases where Notice</w:t>
      </w:r>
      <w:r w:rsidR="007D6F61">
        <w:rPr>
          <w:rFonts w:ascii="Times New Roman" w:eastAsia="Book Antiqua" w:hAnsi="Times New Roman"/>
          <w:sz w:val="24"/>
          <w:szCs w:val="24"/>
        </w:rPr>
        <w:t>s</w:t>
      </w:r>
      <w:r w:rsidRPr="00B548AD">
        <w:rPr>
          <w:rFonts w:ascii="Times New Roman" w:eastAsia="Book Antiqua" w:hAnsi="Times New Roman"/>
          <w:sz w:val="24"/>
          <w:szCs w:val="24"/>
        </w:rPr>
        <w:t xml:space="preserve"> could not be served. On receipt of the reply from COP, the report is classified in the respective file and the procedures are continued in the case file. Due to lack of staff no proper follow up on Untraceable Debtors in the soft copy </w:t>
      </w:r>
      <w:r w:rsidR="007D6F61">
        <w:rPr>
          <w:rFonts w:ascii="Times New Roman" w:eastAsia="Book Antiqua" w:hAnsi="Times New Roman"/>
          <w:sz w:val="24"/>
          <w:szCs w:val="24"/>
        </w:rPr>
        <w:t>could</w:t>
      </w:r>
      <w:r w:rsidRPr="00B548AD">
        <w:rPr>
          <w:rFonts w:ascii="Times New Roman" w:eastAsia="Book Antiqua" w:hAnsi="Times New Roman"/>
          <w:sz w:val="24"/>
          <w:szCs w:val="24"/>
        </w:rPr>
        <w:t xml:space="preserve"> be carried out.</w:t>
      </w:r>
    </w:p>
    <w:p w:rsidR="00B548AD" w:rsidRPr="00B548AD" w:rsidRDefault="00B548AD" w:rsidP="00B548AD">
      <w:pPr>
        <w:spacing w:after="0" w:line="240" w:lineRule="auto"/>
        <w:jc w:val="both"/>
        <w:rPr>
          <w:rFonts w:ascii="Times New Roman" w:eastAsia="Book Antiqua" w:hAnsi="Times New Roman"/>
          <w:sz w:val="24"/>
          <w:szCs w:val="24"/>
        </w:rPr>
      </w:pPr>
    </w:p>
    <w:p w:rsidR="00B548AD" w:rsidRPr="00B548AD" w:rsidRDefault="00B548AD" w:rsidP="00B548AD">
      <w:pPr>
        <w:spacing w:after="0" w:line="240" w:lineRule="auto"/>
        <w:jc w:val="both"/>
        <w:rPr>
          <w:rFonts w:ascii="Times New Roman" w:eastAsia="Book Antiqua" w:hAnsi="Times New Roman"/>
          <w:sz w:val="24"/>
          <w:szCs w:val="24"/>
        </w:rPr>
      </w:pPr>
    </w:p>
    <w:p w:rsidR="00B548AD" w:rsidRPr="00B548AD" w:rsidRDefault="00127C2B" w:rsidP="00B548AD">
      <w:pPr>
        <w:spacing w:after="0" w:line="240" w:lineRule="auto"/>
        <w:rPr>
          <w:rFonts w:ascii="Times New Roman" w:hAnsi="Times New Roman"/>
          <w:b/>
          <w:i/>
          <w:sz w:val="24"/>
          <w:szCs w:val="24"/>
        </w:rPr>
      </w:pPr>
      <w:proofErr w:type="gramStart"/>
      <w:r>
        <w:rPr>
          <w:rFonts w:ascii="Times New Roman" w:hAnsi="Times New Roman"/>
          <w:b/>
          <w:i/>
          <w:sz w:val="24"/>
          <w:szCs w:val="24"/>
        </w:rPr>
        <w:t>6.</w:t>
      </w:r>
      <w:r w:rsidR="00BF0E37">
        <w:rPr>
          <w:rFonts w:ascii="Times New Roman" w:hAnsi="Times New Roman"/>
          <w:b/>
          <w:i/>
          <w:sz w:val="24"/>
          <w:szCs w:val="24"/>
        </w:rPr>
        <w:t>5</w:t>
      </w:r>
      <w:r w:rsidR="00B548AD" w:rsidRPr="00B548AD">
        <w:rPr>
          <w:rFonts w:ascii="Times New Roman" w:hAnsi="Times New Roman"/>
          <w:b/>
          <w:i/>
          <w:sz w:val="24"/>
          <w:szCs w:val="24"/>
        </w:rPr>
        <w:t>.7  Non</w:t>
      </w:r>
      <w:proofErr w:type="gramEnd"/>
      <w:r w:rsidR="00B548AD" w:rsidRPr="00B548AD">
        <w:rPr>
          <w:rFonts w:ascii="Times New Roman" w:hAnsi="Times New Roman"/>
          <w:b/>
          <w:i/>
          <w:sz w:val="24"/>
          <w:szCs w:val="24"/>
        </w:rPr>
        <w:t>-compliance with Financial Instructions relating to ‘Arrears of Revenue’</w:t>
      </w:r>
    </w:p>
    <w:p w:rsidR="00B548AD" w:rsidRPr="00B548AD" w:rsidRDefault="00B548AD" w:rsidP="00B548AD">
      <w:pPr>
        <w:spacing w:after="0" w:line="240" w:lineRule="auto"/>
        <w:rPr>
          <w:rFonts w:ascii="Times New Roman" w:hAnsi="Times New Roman"/>
          <w:b/>
          <w:i/>
          <w:sz w:val="24"/>
          <w:szCs w:val="24"/>
        </w:rPr>
      </w:pPr>
    </w:p>
    <w:p w:rsidR="00B548AD" w:rsidRPr="00B548AD" w:rsidRDefault="00B548AD" w:rsidP="00B548AD">
      <w:pPr>
        <w:spacing w:after="0" w:line="240" w:lineRule="auto"/>
        <w:jc w:val="both"/>
        <w:rPr>
          <w:rFonts w:ascii="Times New Roman" w:hAnsi="Times New Roman"/>
          <w:sz w:val="24"/>
          <w:szCs w:val="24"/>
        </w:rPr>
      </w:pPr>
      <w:r w:rsidRPr="00B548AD">
        <w:rPr>
          <w:rFonts w:ascii="Times New Roman" w:hAnsi="Times New Roman"/>
          <w:sz w:val="24"/>
          <w:szCs w:val="24"/>
        </w:rPr>
        <w:t>Contrary to financial instructions issued by MOFED, no Revenue Register, Manual of Instructions, proper management information system and revenue analysis were maintained to ensure timely follow-up of receivables and for subsequent enforcement action.</w:t>
      </w:r>
    </w:p>
    <w:p w:rsidR="00B548AD" w:rsidRPr="00B548AD" w:rsidRDefault="00B548AD" w:rsidP="00B548AD">
      <w:pPr>
        <w:spacing w:after="0" w:line="240" w:lineRule="auto"/>
        <w:jc w:val="both"/>
        <w:rPr>
          <w:rFonts w:ascii="Times New Roman" w:hAnsi="Times New Roman"/>
          <w:sz w:val="24"/>
          <w:szCs w:val="24"/>
        </w:rPr>
      </w:pPr>
    </w:p>
    <w:p w:rsidR="00B548AD" w:rsidRPr="00B548AD" w:rsidRDefault="00B548AD" w:rsidP="00B548AD">
      <w:pPr>
        <w:spacing w:after="0" w:line="240" w:lineRule="auto"/>
        <w:rPr>
          <w:rFonts w:ascii="Times New Roman" w:hAnsi="Times New Roman"/>
          <w:b/>
          <w:i/>
          <w:sz w:val="24"/>
          <w:szCs w:val="24"/>
        </w:rPr>
      </w:pPr>
      <w:r w:rsidRPr="00B548AD">
        <w:rPr>
          <w:rFonts w:ascii="Times New Roman" w:hAnsi="Times New Roman"/>
          <w:b/>
          <w:i/>
          <w:sz w:val="24"/>
          <w:szCs w:val="24"/>
        </w:rPr>
        <w:t>Department’s Reply</w:t>
      </w:r>
    </w:p>
    <w:p w:rsidR="00B548AD" w:rsidRPr="00B548AD" w:rsidRDefault="00B548AD" w:rsidP="00B548AD">
      <w:pPr>
        <w:spacing w:after="0" w:line="240" w:lineRule="auto"/>
        <w:rPr>
          <w:rFonts w:ascii="Times New Roman" w:hAnsi="Times New Roman"/>
          <w:b/>
          <w:i/>
          <w:sz w:val="24"/>
          <w:szCs w:val="24"/>
        </w:rPr>
      </w:pPr>
    </w:p>
    <w:p w:rsidR="00B548AD" w:rsidRPr="00B548AD" w:rsidRDefault="00B548AD" w:rsidP="00B548AD">
      <w:pPr>
        <w:spacing w:after="0" w:line="240" w:lineRule="auto"/>
        <w:jc w:val="both"/>
        <w:rPr>
          <w:rFonts w:ascii="Times New Roman" w:eastAsia="Book Antiqua" w:hAnsi="Times New Roman"/>
          <w:sz w:val="24"/>
          <w:szCs w:val="24"/>
        </w:rPr>
      </w:pPr>
      <w:r w:rsidRPr="00B548AD">
        <w:rPr>
          <w:rFonts w:ascii="Times New Roman" w:eastAsia="Book Antiqua" w:hAnsi="Times New Roman"/>
          <w:sz w:val="24"/>
          <w:szCs w:val="24"/>
        </w:rPr>
        <w:t>Qualified staff for Debt Management is needed to follow instructions given in the Financial Instructions on ‘Losses, Arrears of Revenue, Write-off and Advances’ for compliance by Ministries/Departments. The more recruitment will be done, the higher will be the running costs of the department without any guarantee that the debt will be recovered.</w:t>
      </w:r>
    </w:p>
    <w:p w:rsidR="00B548AD" w:rsidRPr="00B548AD" w:rsidRDefault="00B548AD" w:rsidP="00B548AD">
      <w:pPr>
        <w:spacing w:after="0" w:line="240" w:lineRule="auto"/>
        <w:jc w:val="both"/>
        <w:rPr>
          <w:rFonts w:ascii="Times New Roman" w:eastAsia="Book Antiqua" w:hAnsi="Times New Roman"/>
          <w:sz w:val="24"/>
          <w:szCs w:val="24"/>
        </w:rPr>
      </w:pPr>
    </w:p>
    <w:p w:rsidR="00B548AD" w:rsidRPr="00B548AD" w:rsidRDefault="00B548AD" w:rsidP="00B548AD">
      <w:pPr>
        <w:spacing w:after="0" w:line="240" w:lineRule="auto"/>
        <w:jc w:val="both"/>
        <w:rPr>
          <w:rFonts w:ascii="Times New Roman" w:eastAsia="Book Antiqua" w:hAnsi="Times New Roman"/>
          <w:sz w:val="24"/>
          <w:szCs w:val="24"/>
        </w:rPr>
      </w:pPr>
      <w:r w:rsidRPr="00B548AD">
        <w:rPr>
          <w:rFonts w:ascii="Times New Roman" w:eastAsia="Book Antiqua" w:hAnsi="Times New Roman"/>
          <w:sz w:val="24"/>
          <w:szCs w:val="24"/>
        </w:rPr>
        <w:t>There is an effective mechanism put in place at the Mauritius Revenue Authority (MRA) to recover debts. Another option is to outsource the debt recovery to MRA.</w:t>
      </w:r>
    </w:p>
    <w:p w:rsidR="00B548AD" w:rsidRDefault="00B548AD" w:rsidP="00B548AD">
      <w:pPr>
        <w:spacing w:after="0" w:line="240" w:lineRule="auto"/>
        <w:jc w:val="both"/>
        <w:rPr>
          <w:rFonts w:ascii="Times New Roman" w:eastAsia="Book Antiqua" w:hAnsi="Times New Roman"/>
          <w:sz w:val="24"/>
          <w:szCs w:val="24"/>
        </w:rPr>
      </w:pPr>
    </w:p>
    <w:p w:rsidR="00127C2B" w:rsidRPr="00B548AD" w:rsidRDefault="00127C2B" w:rsidP="00B548AD">
      <w:pPr>
        <w:spacing w:after="0" w:line="240" w:lineRule="auto"/>
        <w:jc w:val="both"/>
        <w:rPr>
          <w:rFonts w:ascii="Times New Roman" w:eastAsia="Book Antiqua" w:hAnsi="Times New Roman"/>
          <w:sz w:val="24"/>
          <w:szCs w:val="24"/>
        </w:rPr>
      </w:pPr>
    </w:p>
    <w:p w:rsidR="00B548AD" w:rsidRPr="00B548AD" w:rsidRDefault="00127C2B" w:rsidP="00B548AD">
      <w:pPr>
        <w:spacing w:after="0" w:line="240" w:lineRule="auto"/>
        <w:jc w:val="both"/>
        <w:rPr>
          <w:rFonts w:ascii="Times New Roman" w:eastAsia="Book Antiqua" w:hAnsi="Times New Roman"/>
          <w:b/>
          <w:i/>
          <w:sz w:val="24"/>
          <w:szCs w:val="24"/>
        </w:rPr>
      </w:pPr>
      <w:proofErr w:type="gramStart"/>
      <w:r>
        <w:rPr>
          <w:rFonts w:ascii="Times New Roman" w:eastAsia="Book Antiqua" w:hAnsi="Times New Roman"/>
          <w:b/>
          <w:i/>
          <w:sz w:val="24"/>
          <w:szCs w:val="24"/>
        </w:rPr>
        <w:t>6.</w:t>
      </w:r>
      <w:r w:rsidR="00BF0E37">
        <w:rPr>
          <w:rFonts w:ascii="Times New Roman" w:eastAsia="Book Antiqua" w:hAnsi="Times New Roman"/>
          <w:b/>
          <w:i/>
          <w:sz w:val="24"/>
          <w:szCs w:val="24"/>
        </w:rPr>
        <w:t>5</w:t>
      </w:r>
      <w:r w:rsidR="00B548AD" w:rsidRPr="00B548AD">
        <w:rPr>
          <w:rFonts w:ascii="Times New Roman" w:eastAsia="Book Antiqua" w:hAnsi="Times New Roman"/>
          <w:b/>
          <w:i/>
          <w:sz w:val="24"/>
          <w:szCs w:val="24"/>
        </w:rPr>
        <w:t>.8  Examination</w:t>
      </w:r>
      <w:proofErr w:type="gramEnd"/>
      <w:r w:rsidR="00B548AD" w:rsidRPr="00B548AD">
        <w:rPr>
          <w:rFonts w:ascii="Times New Roman" w:eastAsia="Book Antiqua" w:hAnsi="Times New Roman"/>
          <w:b/>
          <w:i/>
          <w:sz w:val="24"/>
          <w:szCs w:val="24"/>
        </w:rPr>
        <w:t xml:space="preserve"> of Files</w:t>
      </w:r>
    </w:p>
    <w:p w:rsidR="00B548AD" w:rsidRPr="00B548AD" w:rsidRDefault="00B548AD" w:rsidP="00B548AD">
      <w:pPr>
        <w:spacing w:after="0" w:line="240" w:lineRule="auto"/>
        <w:jc w:val="both"/>
        <w:rPr>
          <w:rFonts w:ascii="Times New Roman" w:eastAsia="Book Antiqua" w:hAnsi="Times New Roman"/>
          <w:b/>
          <w:sz w:val="24"/>
          <w:szCs w:val="24"/>
        </w:rPr>
      </w:pPr>
    </w:p>
    <w:p w:rsidR="00B548AD" w:rsidRPr="00B548AD" w:rsidRDefault="00B548AD" w:rsidP="00B548AD">
      <w:pPr>
        <w:spacing w:after="0" w:line="240" w:lineRule="auto"/>
        <w:contextualSpacing/>
        <w:jc w:val="both"/>
        <w:rPr>
          <w:rFonts w:ascii="Times New Roman" w:hAnsi="Times New Roman"/>
          <w:sz w:val="24"/>
          <w:szCs w:val="24"/>
        </w:rPr>
      </w:pPr>
      <w:r w:rsidRPr="00B548AD">
        <w:rPr>
          <w:rFonts w:ascii="Times New Roman" w:hAnsi="Times New Roman"/>
          <w:sz w:val="24"/>
          <w:szCs w:val="24"/>
        </w:rPr>
        <w:t>A sample of 15 files relating to companies owing some Rs 122.4 million was examined.</w:t>
      </w:r>
    </w:p>
    <w:p w:rsidR="00B548AD" w:rsidRPr="00B548AD" w:rsidRDefault="00B548AD" w:rsidP="00B548AD">
      <w:pPr>
        <w:spacing w:after="0" w:line="240" w:lineRule="auto"/>
        <w:contextualSpacing/>
        <w:jc w:val="both"/>
        <w:rPr>
          <w:rFonts w:ascii="Times New Roman" w:hAnsi="Times New Roman"/>
          <w:sz w:val="24"/>
          <w:szCs w:val="24"/>
        </w:rPr>
      </w:pPr>
    </w:p>
    <w:p w:rsidR="00B548AD" w:rsidRPr="00B548AD" w:rsidRDefault="00B548AD" w:rsidP="00B548AD">
      <w:pPr>
        <w:numPr>
          <w:ilvl w:val="0"/>
          <w:numId w:val="33"/>
        </w:numPr>
        <w:spacing w:after="0" w:line="240" w:lineRule="auto"/>
        <w:ind w:left="360"/>
        <w:contextualSpacing/>
        <w:jc w:val="both"/>
        <w:rPr>
          <w:rFonts w:ascii="Times New Roman" w:hAnsi="Times New Roman"/>
          <w:sz w:val="24"/>
          <w:szCs w:val="24"/>
        </w:rPr>
      </w:pPr>
      <w:r w:rsidRPr="00B548AD">
        <w:rPr>
          <w:rFonts w:ascii="Times New Roman" w:hAnsi="Times New Roman"/>
          <w:sz w:val="24"/>
          <w:szCs w:val="24"/>
        </w:rPr>
        <w:t xml:space="preserve">Two companies, the buyer and seller of a property, owed a total of Rs 105 million since November 2014. </w:t>
      </w:r>
    </w:p>
    <w:p w:rsidR="00B548AD" w:rsidRPr="00B548AD" w:rsidRDefault="00B548AD" w:rsidP="00B548AD">
      <w:pPr>
        <w:spacing w:after="0" w:line="240" w:lineRule="auto"/>
        <w:ind w:left="426"/>
        <w:contextualSpacing/>
        <w:jc w:val="both"/>
        <w:rPr>
          <w:rFonts w:ascii="Times New Roman" w:hAnsi="Times New Roman"/>
          <w:sz w:val="24"/>
          <w:szCs w:val="24"/>
        </w:rPr>
      </w:pPr>
    </w:p>
    <w:p w:rsidR="00B548AD" w:rsidRPr="00B548AD" w:rsidRDefault="00B548AD" w:rsidP="00B548AD">
      <w:pPr>
        <w:numPr>
          <w:ilvl w:val="0"/>
          <w:numId w:val="34"/>
        </w:numPr>
        <w:spacing w:after="0" w:line="240" w:lineRule="auto"/>
        <w:ind w:left="720"/>
        <w:contextualSpacing/>
        <w:jc w:val="both"/>
        <w:rPr>
          <w:rFonts w:ascii="Times New Roman" w:hAnsi="Times New Roman"/>
          <w:sz w:val="24"/>
          <w:szCs w:val="24"/>
        </w:rPr>
      </w:pPr>
      <w:r w:rsidRPr="00B548AD">
        <w:rPr>
          <w:rFonts w:ascii="Times New Roman" w:hAnsi="Times New Roman"/>
          <w:sz w:val="24"/>
          <w:szCs w:val="24"/>
        </w:rPr>
        <w:t xml:space="preserve">The seller who owed Rs 52.5 million has not raised any objection to the amount assessed by the Valuation Department. It has not yet settled its debt despite it has quite recently </w:t>
      </w:r>
      <w:proofErr w:type="spellStart"/>
      <w:r w:rsidRPr="00B548AD">
        <w:rPr>
          <w:rFonts w:ascii="Times New Roman" w:hAnsi="Times New Roman"/>
          <w:sz w:val="24"/>
          <w:szCs w:val="24"/>
        </w:rPr>
        <w:t>encashed</w:t>
      </w:r>
      <w:proofErr w:type="spellEnd"/>
      <w:r w:rsidRPr="00B548AD">
        <w:rPr>
          <w:rFonts w:ascii="Times New Roman" w:hAnsi="Times New Roman"/>
          <w:sz w:val="24"/>
          <w:szCs w:val="24"/>
        </w:rPr>
        <w:t xml:space="preserve"> a large sum of money from the above transaction. The seller was in the process of liquidation since October 2013.</w:t>
      </w:r>
    </w:p>
    <w:p w:rsidR="00B548AD" w:rsidRPr="00B548AD" w:rsidRDefault="00B548AD" w:rsidP="00B548AD">
      <w:pPr>
        <w:spacing w:line="240" w:lineRule="auto"/>
        <w:ind w:left="720" w:hanging="360"/>
        <w:contextualSpacing/>
        <w:rPr>
          <w:rFonts w:ascii="Times New Roman" w:hAnsi="Times New Roman"/>
          <w:sz w:val="24"/>
          <w:szCs w:val="24"/>
        </w:rPr>
      </w:pPr>
    </w:p>
    <w:p w:rsidR="00B548AD" w:rsidRPr="00B548AD" w:rsidRDefault="00B548AD" w:rsidP="00B548AD">
      <w:pPr>
        <w:numPr>
          <w:ilvl w:val="0"/>
          <w:numId w:val="34"/>
        </w:numPr>
        <w:spacing w:after="0" w:line="240" w:lineRule="auto"/>
        <w:ind w:left="720"/>
        <w:contextualSpacing/>
        <w:jc w:val="both"/>
        <w:rPr>
          <w:rFonts w:ascii="Times New Roman" w:hAnsi="Times New Roman"/>
          <w:sz w:val="24"/>
          <w:szCs w:val="24"/>
        </w:rPr>
      </w:pPr>
      <w:r w:rsidRPr="00B548AD">
        <w:rPr>
          <w:rFonts w:ascii="Times New Roman" w:hAnsi="Times New Roman"/>
          <w:sz w:val="24"/>
          <w:szCs w:val="24"/>
        </w:rPr>
        <w:t xml:space="preserve">The buyer, also indebted to the RGD for Rs 52.5 million has not raised any objection to the amount assessed by the Valuation Department within the deadline. He has lodged an objection to the Assessment Review Committee </w:t>
      </w:r>
      <w:proofErr w:type="gramStart"/>
      <w:r w:rsidRPr="00B548AD">
        <w:rPr>
          <w:rFonts w:ascii="Times New Roman" w:hAnsi="Times New Roman"/>
          <w:sz w:val="24"/>
          <w:szCs w:val="24"/>
        </w:rPr>
        <w:t>afterwards, that</w:t>
      </w:r>
      <w:proofErr w:type="gramEnd"/>
      <w:r w:rsidRPr="00B548AD">
        <w:rPr>
          <w:rFonts w:ascii="Times New Roman" w:hAnsi="Times New Roman"/>
          <w:sz w:val="24"/>
          <w:szCs w:val="24"/>
        </w:rPr>
        <w:t xml:space="preserve"> has yet to be determined.</w:t>
      </w:r>
    </w:p>
    <w:p w:rsidR="00B548AD" w:rsidRPr="00B548AD" w:rsidRDefault="00B548AD" w:rsidP="00B548AD">
      <w:pPr>
        <w:spacing w:after="0" w:line="240" w:lineRule="auto"/>
        <w:ind w:hanging="426"/>
        <w:contextualSpacing/>
        <w:jc w:val="both"/>
        <w:rPr>
          <w:rFonts w:ascii="Times New Roman" w:hAnsi="Times New Roman"/>
          <w:sz w:val="24"/>
          <w:szCs w:val="24"/>
        </w:rPr>
      </w:pPr>
    </w:p>
    <w:p w:rsidR="00B548AD" w:rsidRPr="00B548AD" w:rsidRDefault="00B548AD" w:rsidP="00B548AD">
      <w:pPr>
        <w:numPr>
          <w:ilvl w:val="0"/>
          <w:numId w:val="33"/>
        </w:numPr>
        <w:spacing w:after="0" w:line="240" w:lineRule="auto"/>
        <w:ind w:left="360"/>
        <w:contextualSpacing/>
        <w:jc w:val="both"/>
        <w:rPr>
          <w:rFonts w:ascii="Times New Roman" w:hAnsi="Times New Roman"/>
          <w:sz w:val="24"/>
          <w:szCs w:val="24"/>
        </w:rPr>
      </w:pPr>
      <w:r w:rsidRPr="00B548AD">
        <w:rPr>
          <w:rFonts w:ascii="Times New Roman" w:hAnsi="Times New Roman"/>
          <w:sz w:val="24"/>
          <w:szCs w:val="24"/>
        </w:rPr>
        <w:t xml:space="preserve">The time taken to determine objection cases by the Valuation Department was too long. </w:t>
      </w:r>
    </w:p>
    <w:p w:rsidR="00B548AD" w:rsidRPr="00B548AD" w:rsidRDefault="00B548AD" w:rsidP="00B548AD">
      <w:pPr>
        <w:numPr>
          <w:ilvl w:val="0"/>
          <w:numId w:val="33"/>
        </w:numPr>
        <w:spacing w:line="240" w:lineRule="auto"/>
        <w:ind w:left="360"/>
        <w:contextualSpacing/>
        <w:jc w:val="both"/>
        <w:rPr>
          <w:rFonts w:ascii="Times New Roman" w:hAnsi="Times New Roman"/>
          <w:sz w:val="24"/>
          <w:szCs w:val="24"/>
        </w:rPr>
      </w:pPr>
      <w:r w:rsidRPr="00B548AD">
        <w:rPr>
          <w:rFonts w:ascii="Times New Roman" w:hAnsi="Times New Roman"/>
          <w:sz w:val="24"/>
          <w:szCs w:val="24"/>
        </w:rPr>
        <w:lastRenderedPageBreak/>
        <w:t>No proper follow-up was made. Reminders were not sent in six cases, whereas for the other nine cases, reminders were sent only once.</w:t>
      </w:r>
    </w:p>
    <w:p w:rsidR="00B548AD" w:rsidRPr="00B548AD" w:rsidRDefault="00B548AD" w:rsidP="00B548AD">
      <w:pPr>
        <w:spacing w:after="0" w:line="240" w:lineRule="auto"/>
        <w:rPr>
          <w:rFonts w:ascii="Times New Roman" w:eastAsia="Times New Roman" w:hAnsi="Times New Roman"/>
          <w:b/>
          <w:i/>
          <w:sz w:val="24"/>
          <w:szCs w:val="24"/>
        </w:rPr>
      </w:pPr>
    </w:p>
    <w:p w:rsidR="00B548AD" w:rsidRPr="00B548AD" w:rsidRDefault="00B548AD" w:rsidP="00B548AD">
      <w:pPr>
        <w:spacing w:after="0" w:line="240" w:lineRule="auto"/>
        <w:rPr>
          <w:rFonts w:ascii="Times New Roman" w:eastAsia="Times New Roman" w:hAnsi="Times New Roman"/>
          <w:b/>
          <w:i/>
          <w:sz w:val="24"/>
          <w:szCs w:val="24"/>
        </w:rPr>
      </w:pPr>
      <w:r w:rsidRPr="00B548AD">
        <w:rPr>
          <w:rFonts w:ascii="Times New Roman" w:eastAsia="Times New Roman" w:hAnsi="Times New Roman"/>
          <w:b/>
          <w:i/>
          <w:sz w:val="24"/>
          <w:szCs w:val="24"/>
        </w:rPr>
        <w:t>Department’s Reply</w:t>
      </w:r>
    </w:p>
    <w:p w:rsidR="00B548AD" w:rsidRPr="00B548AD" w:rsidRDefault="00B548AD" w:rsidP="00B548AD">
      <w:pPr>
        <w:spacing w:after="0" w:line="240" w:lineRule="auto"/>
        <w:rPr>
          <w:rFonts w:ascii="Times New Roman" w:eastAsia="Times New Roman" w:hAnsi="Times New Roman"/>
          <w:b/>
          <w:sz w:val="24"/>
          <w:szCs w:val="24"/>
        </w:rPr>
      </w:pPr>
    </w:p>
    <w:p w:rsidR="00B548AD" w:rsidRPr="00B548AD" w:rsidRDefault="00B548AD" w:rsidP="00B548AD">
      <w:pPr>
        <w:spacing w:after="0" w:line="240" w:lineRule="auto"/>
        <w:contextualSpacing/>
        <w:jc w:val="both"/>
        <w:rPr>
          <w:rFonts w:ascii="Times New Roman" w:eastAsia="Book Antiqua" w:hAnsi="Times New Roman"/>
          <w:sz w:val="24"/>
          <w:szCs w:val="24"/>
        </w:rPr>
      </w:pPr>
      <w:r w:rsidRPr="00B548AD">
        <w:rPr>
          <w:rFonts w:ascii="Times New Roman" w:eastAsia="Book Antiqua" w:hAnsi="Times New Roman"/>
          <w:sz w:val="24"/>
          <w:szCs w:val="24"/>
        </w:rPr>
        <w:t>Finance (Miscellaneous Provisional) Act 2015 (Act No. 9 of 2015) has amended the Land Duties and Taxes Act and provides that all cases pending before the Objection Unit will have to be dealt with before 1 September 2015 and those where objections have been lodged after 1 June 2015 will be dealt with within four months.</w:t>
      </w:r>
    </w:p>
    <w:p w:rsidR="00B548AD" w:rsidRPr="00B548AD" w:rsidRDefault="00B548AD" w:rsidP="00B548AD">
      <w:pPr>
        <w:spacing w:after="0" w:line="240" w:lineRule="auto"/>
        <w:contextualSpacing/>
        <w:jc w:val="both"/>
        <w:rPr>
          <w:rFonts w:ascii="Times New Roman" w:eastAsia="Book Antiqua" w:hAnsi="Times New Roman"/>
          <w:sz w:val="24"/>
          <w:szCs w:val="24"/>
        </w:rPr>
      </w:pPr>
    </w:p>
    <w:p w:rsidR="00B548AD" w:rsidRPr="00B548AD" w:rsidRDefault="00B548AD" w:rsidP="00B548AD">
      <w:pPr>
        <w:spacing w:after="0" w:line="240" w:lineRule="auto"/>
        <w:contextualSpacing/>
        <w:jc w:val="both"/>
        <w:rPr>
          <w:rFonts w:ascii="Times New Roman" w:eastAsia="Book Antiqua" w:hAnsi="Times New Roman"/>
          <w:sz w:val="24"/>
          <w:szCs w:val="24"/>
        </w:rPr>
      </w:pPr>
    </w:p>
    <w:p w:rsidR="00B548AD" w:rsidRPr="00B548AD" w:rsidRDefault="00127C2B" w:rsidP="00B548AD">
      <w:pPr>
        <w:spacing w:after="0" w:line="240" w:lineRule="auto"/>
        <w:jc w:val="both"/>
        <w:rPr>
          <w:rFonts w:ascii="Times New Roman" w:hAnsi="Times New Roman"/>
          <w:b/>
          <w:i/>
          <w:sz w:val="24"/>
          <w:szCs w:val="24"/>
        </w:rPr>
      </w:pPr>
      <w:proofErr w:type="gramStart"/>
      <w:r>
        <w:rPr>
          <w:rFonts w:ascii="Times New Roman" w:hAnsi="Times New Roman"/>
          <w:b/>
          <w:i/>
          <w:sz w:val="24"/>
          <w:szCs w:val="24"/>
        </w:rPr>
        <w:t>6.</w:t>
      </w:r>
      <w:r w:rsidR="00BF0E37">
        <w:rPr>
          <w:rFonts w:ascii="Times New Roman" w:hAnsi="Times New Roman"/>
          <w:b/>
          <w:i/>
          <w:sz w:val="24"/>
          <w:szCs w:val="24"/>
        </w:rPr>
        <w:t>5</w:t>
      </w:r>
      <w:r w:rsidR="00A56801">
        <w:rPr>
          <w:rFonts w:ascii="Times New Roman" w:hAnsi="Times New Roman"/>
          <w:b/>
          <w:i/>
          <w:sz w:val="24"/>
          <w:szCs w:val="24"/>
        </w:rPr>
        <w:t xml:space="preserve">.9  </w:t>
      </w:r>
      <w:r w:rsidR="00B548AD" w:rsidRPr="00B548AD">
        <w:rPr>
          <w:rFonts w:ascii="Times New Roman" w:hAnsi="Times New Roman"/>
          <w:b/>
          <w:i/>
          <w:sz w:val="24"/>
          <w:szCs w:val="24"/>
        </w:rPr>
        <w:t>Cases</w:t>
      </w:r>
      <w:proofErr w:type="gramEnd"/>
      <w:r w:rsidR="00B548AD" w:rsidRPr="00B548AD">
        <w:rPr>
          <w:rFonts w:ascii="Times New Roman" w:hAnsi="Times New Roman"/>
          <w:b/>
          <w:i/>
          <w:sz w:val="24"/>
          <w:szCs w:val="24"/>
        </w:rPr>
        <w:t xml:space="preserve"> Referred to Judiciary – </w:t>
      </w:r>
      <w:proofErr w:type="spellStart"/>
      <w:r w:rsidR="00B548AD" w:rsidRPr="00B548AD">
        <w:rPr>
          <w:rFonts w:ascii="Times New Roman" w:hAnsi="Times New Roman"/>
          <w:b/>
          <w:i/>
          <w:sz w:val="24"/>
          <w:szCs w:val="24"/>
        </w:rPr>
        <w:t>Contrainte</w:t>
      </w:r>
      <w:proofErr w:type="spellEnd"/>
    </w:p>
    <w:p w:rsidR="00B548AD" w:rsidRPr="00B548AD" w:rsidRDefault="00B548AD" w:rsidP="00B548AD">
      <w:pPr>
        <w:spacing w:after="0" w:line="240" w:lineRule="auto"/>
        <w:jc w:val="both"/>
        <w:rPr>
          <w:rFonts w:ascii="Times New Roman" w:hAnsi="Times New Roman"/>
          <w:b/>
          <w:i/>
          <w:sz w:val="24"/>
          <w:szCs w:val="24"/>
        </w:rPr>
      </w:pPr>
    </w:p>
    <w:p w:rsidR="00B548AD" w:rsidRPr="00B548AD" w:rsidRDefault="00B548AD" w:rsidP="00B548AD">
      <w:pPr>
        <w:spacing w:after="0" w:line="240" w:lineRule="auto"/>
        <w:jc w:val="both"/>
        <w:rPr>
          <w:rFonts w:ascii="Times New Roman" w:hAnsi="Times New Roman"/>
          <w:sz w:val="24"/>
          <w:szCs w:val="24"/>
        </w:rPr>
      </w:pPr>
      <w:r w:rsidRPr="00B548AD">
        <w:rPr>
          <w:rFonts w:ascii="Times New Roman" w:hAnsi="Times New Roman"/>
          <w:sz w:val="24"/>
          <w:szCs w:val="24"/>
        </w:rPr>
        <w:t xml:space="preserve">From October 2013 to December 2014, 675 cases </w:t>
      </w:r>
      <w:proofErr w:type="spellStart"/>
      <w:r w:rsidRPr="00B548AD">
        <w:rPr>
          <w:rFonts w:ascii="Times New Roman" w:hAnsi="Times New Roman"/>
          <w:sz w:val="24"/>
          <w:szCs w:val="24"/>
        </w:rPr>
        <w:t>totalling</w:t>
      </w:r>
      <w:proofErr w:type="spellEnd"/>
      <w:r w:rsidRPr="00B548AD">
        <w:rPr>
          <w:rFonts w:ascii="Times New Roman" w:hAnsi="Times New Roman"/>
          <w:sz w:val="24"/>
          <w:szCs w:val="24"/>
        </w:rPr>
        <w:t xml:space="preserve"> Rs 73.3 million were referred for legal action.</w:t>
      </w:r>
    </w:p>
    <w:p w:rsidR="00B548AD" w:rsidRPr="00B548AD" w:rsidRDefault="00B548AD" w:rsidP="00B548AD">
      <w:pPr>
        <w:spacing w:after="0" w:line="240" w:lineRule="auto"/>
        <w:rPr>
          <w:rFonts w:ascii="Times New Roman" w:hAnsi="Times New Roman"/>
          <w:sz w:val="24"/>
          <w:szCs w:val="24"/>
        </w:rPr>
      </w:pPr>
    </w:p>
    <w:p w:rsidR="00B548AD" w:rsidRPr="00B548AD" w:rsidRDefault="00B548AD" w:rsidP="00B548AD">
      <w:pPr>
        <w:spacing w:after="0" w:line="240" w:lineRule="auto"/>
        <w:rPr>
          <w:rFonts w:ascii="Times New Roman" w:hAnsi="Times New Roman"/>
          <w:sz w:val="24"/>
          <w:szCs w:val="24"/>
        </w:rPr>
      </w:pPr>
    </w:p>
    <w:p w:rsidR="00B548AD" w:rsidRPr="00B548AD" w:rsidRDefault="00B548AD" w:rsidP="00B548AD">
      <w:pPr>
        <w:spacing w:after="0" w:line="240" w:lineRule="auto"/>
        <w:jc w:val="both"/>
        <w:rPr>
          <w:rFonts w:ascii="Times New Roman" w:hAnsi="Times New Roman"/>
          <w:b/>
          <w:i/>
          <w:sz w:val="24"/>
          <w:szCs w:val="24"/>
        </w:rPr>
      </w:pPr>
      <w:r w:rsidRPr="00B548AD">
        <w:rPr>
          <w:rFonts w:ascii="Times New Roman" w:hAnsi="Times New Roman"/>
          <w:b/>
          <w:i/>
          <w:sz w:val="24"/>
          <w:szCs w:val="24"/>
        </w:rPr>
        <w:t>Observations</w:t>
      </w:r>
    </w:p>
    <w:p w:rsidR="00B548AD" w:rsidRPr="00B548AD" w:rsidRDefault="00B548AD" w:rsidP="00B548AD">
      <w:pPr>
        <w:spacing w:after="0" w:line="240" w:lineRule="auto"/>
        <w:jc w:val="both"/>
        <w:rPr>
          <w:rFonts w:ascii="Times New Roman" w:hAnsi="Times New Roman"/>
          <w:i/>
          <w:sz w:val="24"/>
          <w:szCs w:val="24"/>
        </w:rPr>
      </w:pPr>
    </w:p>
    <w:p w:rsidR="00B548AD" w:rsidRPr="00B548AD" w:rsidRDefault="00B548AD" w:rsidP="00B548AD">
      <w:pPr>
        <w:numPr>
          <w:ilvl w:val="0"/>
          <w:numId w:val="31"/>
        </w:numPr>
        <w:spacing w:after="0" w:line="240" w:lineRule="auto"/>
        <w:contextualSpacing/>
        <w:jc w:val="both"/>
        <w:rPr>
          <w:rFonts w:ascii="Times New Roman" w:hAnsi="Times New Roman"/>
          <w:sz w:val="24"/>
          <w:szCs w:val="24"/>
        </w:rPr>
      </w:pPr>
      <w:r w:rsidRPr="00B548AD">
        <w:rPr>
          <w:rFonts w:ascii="Times New Roman" w:hAnsi="Times New Roman"/>
          <w:sz w:val="24"/>
          <w:szCs w:val="24"/>
        </w:rPr>
        <w:t xml:space="preserve">81 cases </w:t>
      </w:r>
      <w:proofErr w:type="spellStart"/>
      <w:r w:rsidRPr="00B548AD">
        <w:rPr>
          <w:rFonts w:ascii="Times New Roman" w:hAnsi="Times New Roman"/>
          <w:sz w:val="24"/>
          <w:szCs w:val="24"/>
        </w:rPr>
        <w:t>totalling</w:t>
      </w:r>
      <w:proofErr w:type="spellEnd"/>
      <w:r w:rsidRPr="00B548AD">
        <w:rPr>
          <w:rFonts w:ascii="Times New Roman" w:hAnsi="Times New Roman"/>
          <w:sz w:val="24"/>
          <w:szCs w:val="24"/>
        </w:rPr>
        <w:t xml:space="preserve"> Rs 5.9 million were settled </w:t>
      </w:r>
      <w:r w:rsidR="002B1138">
        <w:rPr>
          <w:rFonts w:ascii="Times New Roman" w:hAnsi="Times New Roman"/>
          <w:sz w:val="24"/>
          <w:szCs w:val="24"/>
        </w:rPr>
        <w:t>in full</w:t>
      </w:r>
      <w:r w:rsidRPr="00B548AD">
        <w:rPr>
          <w:rFonts w:ascii="Times New Roman" w:hAnsi="Times New Roman"/>
          <w:sz w:val="24"/>
          <w:szCs w:val="24"/>
        </w:rPr>
        <w:t>.</w:t>
      </w:r>
    </w:p>
    <w:p w:rsidR="00B548AD" w:rsidRPr="00B548AD" w:rsidRDefault="00B548AD" w:rsidP="00B548AD">
      <w:pPr>
        <w:spacing w:after="0" w:line="240" w:lineRule="auto"/>
        <w:ind w:left="360" w:hanging="360"/>
        <w:contextualSpacing/>
        <w:jc w:val="both"/>
        <w:rPr>
          <w:rFonts w:ascii="Times New Roman" w:hAnsi="Times New Roman"/>
          <w:sz w:val="24"/>
          <w:szCs w:val="24"/>
        </w:rPr>
      </w:pPr>
    </w:p>
    <w:p w:rsidR="00B548AD" w:rsidRPr="00B548AD" w:rsidRDefault="00B548AD" w:rsidP="00B548AD">
      <w:pPr>
        <w:numPr>
          <w:ilvl w:val="0"/>
          <w:numId w:val="31"/>
        </w:numPr>
        <w:spacing w:after="0" w:line="240" w:lineRule="auto"/>
        <w:contextualSpacing/>
        <w:jc w:val="both"/>
        <w:rPr>
          <w:rFonts w:ascii="Times New Roman" w:hAnsi="Times New Roman"/>
          <w:sz w:val="24"/>
          <w:szCs w:val="24"/>
        </w:rPr>
      </w:pPr>
      <w:r w:rsidRPr="00B548AD">
        <w:rPr>
          <w:rFonts w:ascii="Times New Roman" w:hAnsi="Times New Roman"/>
          <w:sz w:val="24"/>
          <w:szCs w:val="24"/>
        </w:rPr>
        <w:t>Seizure</w:t>
      </w:r>
      <w:r w:rsidR="002B1138">
        <w:rPr>
          <w:rFonts w:ascii="Times New Roman" w:hAnsi="Times New Roman"/>
          <w:sz w:val="24"/>
          <w:szCs w:val="24"/>
        </w:rPr>
        <w:t>s</w:t>
      </w:r>
      <w:r w:rsidRPr="00B548AD">
        <w:rPr>
          <w:rFonts w:ascii="Times New Roman" w:hAnsi="Times New Roman"/>
          <w:sz w:val="24"/>
          <w:szCs w:val="24"/>
        </w:rPr>
        <w:t xml:space="preserve"> w</w:t>
      </w:r>
      <w:r w:rsidR="002B1138">
        <w:rPr>
          <w:rFonts w:ascii="Times New Roman" w:hAnsi="Times New Roman"/>
          <w:sz w:val="24"/>
          <w:szCs w:val="24"/>
        </w:rPr>
        <w:t>ere</w:t>
      </w:r>
      <w:r w:rsidRPr="00B548AD">
        <w:rPr>
          <w:rFonts w:ascii="Times New Roman" w:hAnsi="Times New Roman"/>
          <w:sz w:val="24"/>
          <w:szCs w:val="24"/>
        </w:rPr>
        <w:t xml:space="preserve"> </w:t>
      </w:r>
      <w:proofErr w:type="gramStart"/>
      <w:r w:rsidRPr="00B548AD">
        <w:rPr>
          <w:rFonts w:ascii="Times New Roman" w:hAnsi="Times New Roman"/>
          <w:sz w:val="24"/>
          <w:szCs w:val="24"/>
        </w:rPr>
        <w:t>effected</w:t>
      </w:r>
      <w:proofErr w:type="gramEnd"/>
      <w:r w:rsidRPr="00B548AD">
        <w:rPr>
          <w:rFonts w:ascii="Times New Roman" w:hAnsi="Times New Roman"/>
          <w:sz w:val="24"/>
          <w:szCs w:val="24"/>
        </w:rPr>
        <w:t xml:space="preserve"> in 17 cases involving a total amount of Rs 1.7 million.</w:t>
      </w:r>
    </w:p>
    <w:p w:rsidR="00B548AD" w:rsidRPr="00B548AD" w:rsidRDefault="00B548AD" w:rsidP="00B548AD">
      <w:pPr>
        <w:spacing w:line="240" w:lineRule="auto"/>
        <w:ind w:left="360" w:hanging="360"/>
        <w:contextualSpacing/>
        <w:rPr>
          <w:rFonts w:ascii="Times New Roman" w:hAnsi="Times New Roman"/>
          <w:sz w:val="24"/>
          <w:szCs w:val="24"/>
        </w:rPr>
      </w:pPr>
    </w:p>
    <w:p w:rsidR="00B548AD" w:rsidRPr="00B548AD" w:rsidRDefault="00B548AD" w:rsidP="00B548AD">
      <w:pPr>
        <w:numPr>
          <w:ilvl w:val="0"/>
          <w:numId w:val="30"/>
        </w:numPr>
        <w:spacing w:after="0" w:line="240" w:lineRule="auto"/>
        <w:ind w:left="360"/>
        <w:contextualSpacing/>
        <w:jc w:val="both"/>
        <w:rPr>
          <w:rFonts w:ascii="Times New Roman" w:hAnsi="Times New Roman"/>
          <w:sz w:val="24"/>
          <w:szCs w:val="24"/>
        </w:rPr>
      </w:pPr>
      <w:r w:rsidRPr="00B548AD">
        <w:rPr>
          <w:rFonts w:ascii="Times New Roman" w:hAnsi="Times New Roman"/>
          <w:sz w:val="24"/>
          <w:szCs w:val="24"/>
        </w:rPr>
        <w:t xml:space="preserve"> 447 cases </w:t>
      </w:r>
      <w:proofErr w:type="spellStart"/>
      <w:r w:rsidRPr="00B548AD">
        <w:rPr>
          <w:rFonts w:ascii="Times New Roman" w:hAnsi="Times New Roman"/>
          <w:sz w:val="24"/>
          <w:szCs w:val="24"/>
        </w:rPr>
        <w:t>totalling</w:t>
      </w:r>
      <w:proofErr w:type="spellEnd"/>
      <w:r w:rsidRPr="00B548AD">
        <w:rPr>
          <w:rFonts w:ascii="Times New Roman" w:hAnsi="Times New Roman"/>
          <w:sz w:val="24"/>
          <w:szCs w:val="24"/>
        </w:rPr>
        <w:t xml:space="preserve"> Rs 38.3 million were </w:t>
      </w:r>
      <w:proofErr w:type="gramStart"/>
      <w:r w:rsidRPr="00B548AD">
        <w:rPr>
          <w:rFonts w:ascii="Times New Roman" w:hAnsi="Times New Roman"/>
          <w:sz w:val="24"/>
          <w:szCs w:val="24"/>
        </w:rPr>
        <w:t>awaiting</w:t>
      </w:r>
      <w:proofErr w:type="gramEnd"/>
      <w:r w:rsidRPr="00B548AD">
        <w:rPr>
          <w:rFonts w:ascii="Times New Roman" w:hAnsi="Times New Roman"/>
          <w:sz w:val="24"/>
          <w:szCs w:val="24"/>
        </w:rPr>
        <w:t xml:space="preserve"> for Judge’s Order</w:t>
      </w:r>
      <w:r w:rsidR="002B1138">
        <w:rPr>
          <w:rFonts w:ascii="Times New Roman" w:hAnsi="Times New Roman"/>
          <w:sz w:val="24"/>
          <w:szCs w:val="24"/>
        </w:rPr>
        <w:t>s</w:t>
      </w:r>
      <w:r w:rsidRPr="00B548AD">
        <w:rPr>
          <w:rFonts w:ascii="Times New Roman" w:hAnsi="Times New Roman"/>
          <w:sz w:val="24"/>
          <w:szCs w:val="24"/>
        </w:rPr>
        <w:t>.</w:t>
      </w:r>
    </w:p>
    <w:p w:rsidR="00B548AD" w:rsidRPr="00B548AD" w:rsidRDefault="00B548AD" w:rsidP="00B548AD">
      <w:pPr>
        <w:spacing w:after="0" w:line="240" w:lineRule="auto"/>
        <w:ind w:left="360" w:hanging="360"/>
        <w:contextualSpacing/>
        <w:jc w:val="both"/>
        <w:rPr>
          <w:rFonts w:ascii="Times New Roman" w:hAnsi="Times New Roman"/>
          <w:sz w:val="24"/>
          <w:szCs w:val="24"/>
        </w:rPr>
      </w:pPr>
    </w:p>
    <w:p w:rsidR="00B548AD" w:rsidRPr="00B548AD" w:rsidRDefault="00B548AD" w:rsidP="00B548AD">
      <w:pPr>
        <w:numPr>
          <w:ilvl w:val="0"/>
          <w:numId w:val="30"/>
        </w:numPr>
        <w:spacing w:after="0" w:line="240" w:lineRule="auto"/>
        <w:ind w:left="360"/>
        <w:jc w:val="both"/>
        <w:rPr>
          <w:rFonts w:ascii="Times New Roman" w:eastAsia="Times New Roman" w:hAnsi="Times New Roman"/>
          <w:sz w:val="24"/>
          <w:szCs w:val="24"/>
        </w:rPr>
      </w:pPr>
      <w:r w:rsidRPr="00B548AD">
        <w:rPr>
          <w:rFonts w:ascii="Times New Roman" w:eastAsia="Times New Roman" w:hAnsi="Times New Roman"/>
          <w:sz w:val="24"/>
          <w:szCs w:val="24"/>
        </w:rPr>
        <w:t>No Service Order</w:t>
      </w:r>
      <w:r w:rsidR="002B1138">
        <w:rPr>
          <w:rFonts w:ascii="Times New Roman" w:eastAsia="Times New Roman" w:hAnsi="Times New Roman"/>
          <w:sz w:val="24"/>
          <w:szCs w:val="24"/>
        </w:rPr>
        <w:t>s</w:t>
      </w:r>
      <w:r w:rsidRPr="00B548AD">
        <w:rPr>
          <w:rFonts w:ascii="Times New Roman" w:eastAsia="Times New Roman" w:hAnsi="Times New Roman"/>
          <w:sz w:val="24"/>
          <w:szCs w:val="24"/>
        </w:rPr>
        <w:t xml:space="preserve"> w</w:t>
      </w:r>
      <w:r w:rsidR="002B1138">
        <w:rPr>
          <w:rFonts w:ascii="Times New Roman" w:eastAsia="Times New Roman" w:hAnsi="Times New Roman"/>
          <w:sz w:val="24"/>
          <w:szCs w:val="24"/>
        </w:rPr>
        <w:t>ere</w:t>
      </w:r>
      <w:r w:rsidRPr="00B548AD">
        <w:rPr>
          <w:rFonts w:ascii="Times New Roman" w:eastAsia="Times New Roman" w:hAnsi="Times New Roman"/>
          <w:sz w:val="24"/>
          <w:szCs w:val="24"/>
        </w:rPr>
        <w:t xml:space="preserve"> </w:t>
      </w:r>
      <w:proofErr w:type="gramStart"/>
      <w:r w:rsidRPr="00B548AD">
        <w:rPr>
          <w:rFonts w:ascii="Times New Roman" w:eastAsia="Times New Roman" w:hAnsi="Times New Roman"/>
          <w:sz w:val="24"/>
          <w:szCs w:val="24"/>
        </w:rPr>
        <w:t>effected</w:t>
      </w:r>
      <w:proofErr w:type="gramEnd"/>
      <w:r w:rsidRPr="00B548AD">
        <w:rPr>
          <w:rFonts w:ascii="Times New Roman" w:eastAsia="Times New Roman" w:hAnsi="Times New Roman"/>
          <w:sz w:val="24"/>
          <w:szCs w:val="24"/>
        </w:rPr>
        <w:t xml:space="preserve"> in 75 cases </w:t>
      </w:r>
      <w:proofErr w:type="spellStart"/>
      <w:r w:rsidRPr="00B548AD">
        <w:rPr>
          <w:rFonts w:ascii="Times New Roman" w:eastAsia="Times New Roman" w:hAnsi="Times New Roman"/>
          <w:sz w:val="24"/>
          <w:szCs w:val="24"/>
        </w:rPr>
        <w:t>totalling</w:t>
      </w:r>
      <w:proofErr w:type="spellEnd"/>
      <w:r w:rsidRPr="00B548AD">
        <w:rPr>
          <w:rFonts w:ascii="Times New Roman" w:eastAsia="Times New Roman" w:hAnsi="Times New Roman"/>
          <w:sz w:val="24"/>
          <w:szCs w:val="24"/>
        </w:rPr>
        <w:t xml:space="preserve"> some Rs 12.7 million for which Judge’s Order had already been obtained. </w:t>
      </w:r>
    </w:p>
    <w:p w:rsidR="00B548AD" w:rsidRPr="00B548AD" w:rsidRDefault="00B548AD" w:rsidP="00B548AD">
      <w:pPr>
        <w:spacing w:after="0" w:line="240" w:lineRule="auto"/>
        <w:ind w:left="360" w:hanging="360"/>
        <w:jc w:val="both"/>
        <w:rPr>
          <w:rFonts w:ascii="Times New Roman" w:eastAsia="Times New Roman" w:hAnsi="Times New Roman"/>
          <w:sz w:val="24"/>
          <w:szCs w:val="24"/>
        </w:rPr>
      </w:pPr>
    </w:p>
    <w:p w:rsidR="00B548AD" w:rsidRPr="00B548AD" w:rsidRDefault="00B548AD" w:rsidP="00B548AD">
      <w:pPr>
        <w:numPr>
          <w:ilvl w:val="0"/>
          <w:numId w:val="30"/>
        </w:numPr>
        <w:spacing w:after="0" w:line="240" w:lineRule="auto"/>
        <w:ind w:left="360"/>
        <w:jc w:val="both"/>
        <w:rPr>
          <w:rFonts w:ascii="Times New Roman" w:eastAsia="Times New Roman" w:hAnsi="Times New Roman"/>
          <w:b/>
          <w:sz w:val="24"/>
          <w:szCs w:val="24"/>
        </w:rPr>
      </w:pPr>
      <w:r w:rsidRPr="00B548AD">
        <w:rPr>
          <w:rFonts w:ascii="Times New Roman" w:eastAsia="Times New Roman" w:hAnsi="Times New Roman"/>
          <w:sz w:val="24"/>
          <w:szCs w:val="24"/>
        </w:rPr>
        <w:t>Of 62 cases amounting to Rs 8.9 million for which service order</w:t>
      </w:r>
      <w:r w:rsidR="002B1138">
        <w:rPr>
          <w:rFonts w:ascii="Times New Roman" w:eastAsia="Times New Roman" w:hAnsi="Times New Roman"/>
          <w:sz w:val="24"/>
          <w:szCs w:val="24"/>
        </w:rPr>
        <w:t>s</w:t>
      </w:r>
      <w:r w:rsidRPr="00B548AD">
        <w:rPr>
          <w:rFonts w:ascii="Times New Roman" w:eastAsia="Times New Roman" w:hAnsi="Times New Roman"/>
          <w:sz w:val="24"/>
          <w:szCs w:val="24"/>
        </w:rPr>
        <w:t xml:space="preserve"> were </w:t>
      </w:r>
      <w:proofErr w:type="gramStart"/>
      <w:r w:rsidR="002B1138">
        <w:rPr>
          <w:rFonts w:ascii="Times New Roman" w:eastAsia="Times New Roman" w:hAnsi="Times New Roman"/>
          <w:sz w:val="24"/>
          <w:szCs w:val="24"/>
        </w:rPr>
        <w:t>effected</w:t>
      </w:r>
      <w:proofErr w:type="gramEnd"/>
      <w:r w:rsidR="002B1138">
        <w:rPr>
          <w:rFonts w:ascii="Times New Roman" w:eastAsia="Times New Roman" w:hAnsi="Times New Roman"/>
          <w:sz w:val="24"/>
          <w:szCs w:val="24"/>
        </w:rPr>
        <w:t>, part payments were effected in three cases and in two cases only, seizure procedures have been initiated.</w:t>
      </w:r>
    </w:p>
    <w:p w:rsidR="00B548AD" w:rsidRPr="00B548AD" w:rsidRDefault="00B548AD" w:rsidP="00B548AD">
      <w:pPr>
        <w:spacing w:after="0" w:line="240" w:lineRule="auto"/>
        <w:rPr>
          <w:rFonts w:ascii="Times New Roman" w:eastAsia="Times New Roman" w:hAnsi="Times New Roman"/>
          <w:b/>
          <w:i/>
          <w:sz w:val="24"/>
          <w:szCs w:val="24"/>
        </w:rPr>
      </w:pPr>
    </w:p>
    <w:p w:rsidR="00B548AD" w:rsidRPr="00B548AD" w:rsidRDefault="00B548AD" w:rsidP="00B548AD">
      <w:pPr>
        <w:spacing w:after="0" w:line="240" w:lineRule="auto"/>
        <w:rPr>
          <w:rFonts w:ascii="Times New Roman" w:eastAsia="Times New Roman" w:hAnsi="Times New Roman"/>
          <w:b/>
          <w:i/>
          <w:sz w:val="24"/>
          <w:szCs w:val="24"/>
        </w:rPr>
      </w:pPr>
    </w:p>
    <w:p w:rsidR="00B548AD" w:rsidRPr="00B548AD" w:rsidRDefault="00B548AD" w:rsidP="00B548AD">
      <w:pPr>
        <w:spacing w:after="0" w:line="240" w:lineRule="auto"/>
        <w:rPr>
          <w:rFonts w:ascii="Times New Roman" w:eastAsia="Times New Roman" w:hAnsi="Times New Roman"/>
          <w:b/>
          <w:i/>
          <w:sz w:val="24"/>
          <w:szCs w:val="24"/>
        </w:rPr>
      </w:pPr>
      <w:r w:rsidRPr="00B548AD">
        <w:rPr>
          <w:rFonts w:ascii="Times New Roman" w:eastAsia="Times New Roman" w:hAnsi="Times New Roman"/>
          <w:b/>
          <w:i/>
          <w:sz w:val="24"/>
          <w:szCs w:val="24"/>
        </w:rPr>
        <w:t>Recommendations</w:t>
      </w:r>
    </w:p>
    <w:p w:rsidR="00B548AD" w:rsidRPr="00B548AD" w:rsidRDefault="00B548AD" w:rsidP="00B548AD">
      <w:pPr>
        <w:spacing w:after="0" w:line="240" w:lineRule="auto"/>
        <w:rPr>
          <w:rFonts w:ascii="Times New Roman" w:eastAsia="Times New Roman" w:hAnsi="Times New Roman"/>
          <w:b/>
          <w:sz w:val="24"/>
          <w:szCs w:val="24"/>
          <w:u w:val="single"/>
        </w:rPr>
      </w:pPr>
    </w:p>
    <w:p w:rsidR="00B548AD" w:rsidRPr="00B548AD" w:rsidRDefault="00B548AD" w:rsidP="00B548AD">
      <w:pPr>
        <w:numPr>
          <w:ilvl w:val="0"/>
          <w:numId w:val="32"/>
        </w:numPr>
        <w:spacing w:after="0" w:line="240" w:lineRule="auto"/>
        <w:ind w:left="360"/>
        <w:contextualSpacing/>
        <w:jc w:val="both"/>
        <w:rPr>
          <w:rFonts w:ascii="Times New Roman" w:hAnsi="Times New Roman"/>
          <w:sz w:val="24"/>
          <w:szCs w:val="24"/>
        </w:rPr>
      </w:pPr>
      <w:r w:rsidRPr="00B548AD">
        <w:rPr>
          <w:rFonts w:ascii="Times New Roman" w:hAnsi="Times New Roman"/>
          <w:sz w:val="24"/>
          <w:szCs w:val="24"/>
        </w:rPr>
        <w:t xml:space="preserve">The systemic problems leading to increasing debtors have not been resolved despite the continuous improvements in the system of registration of immovable properties. There is need for paradigm shift, and to be forward looking for a less complex, but more effective system. The Valuation Department may produce regular Valuation Rolls. LAVIMS needs to be updated regularly by capturing all properties being registered. Alternatively, a Professional </w:t>
      </w:r>
      <w:proofErr w:type="spellStart"/>
      <w:r w:rsidRPr="00B548AD">
        <w:rPr>
          <w:rFonts w:ascii="Times New Roman" w:hAnsi="Times New Roman"/>
          <w:sz w:val="24"/>
          <w:szCs w:val="24"/>
        </w:rPr>
        <w:t>Valuer’s</w:t>
      </w:r>
      <w:proofErr w:type="spellEnd"/>
      <w:r w:rsidRPr="00B548AD">
        <w:rPr>
          <w:rFonts w:ascii="Times New Roman" w:hAnsi="Times New Roman"/>
          <w:sz w:val="24"/>
          <w:szCs w:val="24"/>
        </w:rPr>
        <w:t xml:space="preserve"> report needs to be produced at time of registration. However, Regulations would be required for registration of Professional </w:t>
      </w:r>
      <w:proofErr w:type="spellStart"/>
      <w:r w:rsidRPr="00B548AD">
        <w:rPr>
          <w:rFonts w:ascii="Times New Roman" w:hAnsi="Times New Roman"/>
          <w:sz w:val="24"/>
          <w:szCs w:val="24"/>
        </w:rPr>
        <w:t>Valuers</w:t>
      </w:r>
      <w:proofErr w:type="spellEnd"/>
      <w:r w:rsidRPr="00B548AD">
        <w:rPr>
          <w:rFonts w:ascii="Times New Roman" w:hAnsi="Times New Roman"/>
          <w:sz w:val="24"/>
          <w:szCs w:val="24"/>
        </w:rPr>
        <w:t xml:space="preserve">, as for other Professionals in Mauritius. </w:t>
      </w:r>
    </w:p>
    <w:p w:rsidR="00B548AD" w:rsidRPr="00B548AD" w:rsidRDefault="00B548AD" w:rsidP="00B548AD">
      <w:pPr>
        <w:spacing w:after="0" w:line="240" w:lineRule="auto"/>
        <w:ind w:left="360" w:hanging="360"/>
        <w:contextualSpacing/>
        <w:jc w:val="both"/>
        <w:rPr>
          <w:rFonts w:ascii="Times New Roman" w:hAnsi="Times New Roman"/>
          <w:sz w:val="24"/>
          <w:szCs w:val="24"/>
        </w:rPr>
      </w:pPr>
    </w:p>
    <w:p w:rsidR="00B548AD" w:rsidRPr="003917CC" w:rsidRDefault="00B548AD" w:rsidP="003917CC">
      <w:pPr>
        <w:numPr>
          <w:ilvl w:val="0"/>
          <w:numId w:val="32"/>
        </w:numPr>
        <w:spacing w:after="0" w:line="240" w:lineRule="auto"/>
        <w:ind w:left="360"/>
        <w:contextualSpacing/>
        <w:jc w:val="both"/>
        <w:rPr>
          <w:rFonts w:ascii="Times New Roman" w:hAnsi="Times New Roman"/>
          <w:sz w:val="24"/>
          <w:szCs w:val="24"/>
        </w:rPr>
      </w:pPr>
      <w:r w:rsidRPr="00B548AD">
        <w:rPr>
          <w:rFonts w:ascii="Times New Roman" w:hAnsi="Times New Roman"/>
          <w:sz w:val="24"/>
          <w:szCs w:val="24"/>
        </w:rPr>
        <w:t>Attachment Orders need to be enforced.</w:t>
      </w:r>
      <w:r w:rsidR="003917CC">
        <w:rPr>
          <w:rFonts w:ascii="Times New Roman" w:hAnsi="Times New Roman"/>
          <w:sz w:val="24"/>
          <w:szCs w:val="24"/>
        </w:rPr>
        <w:t xml:space="preserve"> </w:t>
      </w:r>
      <w:r w:rsidRPr="003917CC">
        <w:rPr>
          <w:rFonts w:ascii="Times New Roman" w:hAnsi="Times New Roman"/>
          <w:sz w:val="24"/>
          <w:szCs w:val="24"/>
        </w:rPr>
        <w:t>Some companies, though indebted, have significant assets on their Balance Sheet</w:t>
      </w:r>
      <w:r w:rsidR="00141486" w:rsidRPr="003917CC">
        <w:rPr>
          <w:rFonts w:ascii="Times New Roman" w:hAnsi="Times New Roman"/>
          <w:sz w:val="24"/>
          <w:szCs w:val="24"/>
        </w:rPr>
        <w:t>s</w:t>
      </w:r>
      <w:r w:rsidRPr="003917CC">
        <w:rPr>
          <w:rFonts w:ascii="Times New Roman" w:hAnsi="Times New Roman"/>
          <w:sz w:val="24"/>
          <w:szCs w:val="24"/>
        </w:rPr>
        <w:t xml:space="preserve"> for which RGD could impose necessary recovery measures, such as Attachment Order</w:t>
      </w:r>
      <w:r w:rsidR="00141486" w:rsidRPr="003917CC">
        <w:rPr>
          <w:rFonts w:ascii="Times New Roman" w:hAnsi="Times New Roman"/>
          <w:sz w:val="24"/>
          <w:szCs w:val="24"/>
        </w:rPr>
        <w:t>s</w:t>
      </w:r>
      <w:r w:rsidRPr="003917CC">
        <w:rPr>
          <w:rFonts w:ascii="Times New Roman" w:hAnsi="Times New Roman"/>
          <w:sz w:val="24"/>
          <w:szCs w:val="24"/>
        </w:rPr>
        <w:t xml:space="preserve"> o</w:t>
      </w:r>
      <w:r w:rsidR="00141486" w:rsidRPr="003917CC">
        <w:rPr>
          <w:rFonts w:ascii="Times New Roman" w:hAnsi="Times New Roman"/>
          <w:sz w:val="24"/>
          <w:szCs w:val="24"/>
        </w:rPr>
        <w:t xml:space="preserve">n </w:t>
      </w:r>
      <w:r w:rsidRPr="003917CC">
        <w:rPr>
          <w:rFonts w:ascii="Times New Roman" w:hAnsi="Times New Roman"/>
          <w:sz w:val="24"/>
          <w:szCs w:val="24"/>
        </w:rPr>
        <w:t>bank balances and Property, Plant and Equipment.</w:t>
      </w:r>
    </w:p>
    <w:p w:rsidR="003917CC" w:rsidRDefault="003917CC">
      <w:pPr>
        <w:rPr>
          <w:rFonts w:ascii="Times New Roman" w:hAnsi="Times New Roman"/>
          <w:b/>
          <w:i/>
          <w:sz w:val="24"/>
          <w:szCs w:val="24"/>
        </w:rPr>
      </w:pPr>
      <w:r>
        <w:rPr>
          <w:rFonts w:ascii="Times New Roman" w:hAnsi="Times New Roman"/>
          <w:b/>
          <w:i/>
          <w:sz w:val="24"/>
          <w:szCs w:val="24"/>
        </w:rPr>
        <w:br w:type="page"/>
      </w:r>
    </w:p>
    <w:p w:rsidR="00B548AD" w:rsidRPr="00B548AD" w:rsidRDefault="00B548AD" w:rsidP="00B548AD">
      <w:pPr>
        <w:spacing w:after="0" w:line="240" w:lineRule="auto"/>
        <w:jc w:val="both"/>
        <w:rPr>
          <w:rFonts w:ascii="Times New Roman" w:hAnsi="Times New Roman"/>
          <w:b/>
          <w:i/>
          <w:sz w:val="24"/>
          <w:szCs w:val="24"/>
        </w:rPr>
      </w:pPr>
      <w:r w:rsidRPr="00B548AD">
        <w:rPr>
          <w:rFonts w:ascii="Times New Roman" w:hAnsi="Times New Roman"/>
          <w:b/>
          <w:i/>
          <w:sz w:val="24"/>
          <w:szCs w:val="24"/>
        </w:rPr>
        <w:lastRenderedPageBreak/>
        <w:t>Department’s Reply</w:t>
      </w:r>
    </w:p>
    <w:p w:rsidR="00B548AD" w:rsidRPr="00B548AD" w:rsidRDefault="00B548AD" w:rsidP="00B548AD">
      <w:pPr>
        <w:spacing w:after="0" w:line="240" w:lineRule="auto"/>
        <w:jc w:val="both"/>
        <w:rPr>
          <w:rFonts w:ascii="Times New Roman" w:hAnsi="Times New Roman"/>
          <w:b/>
          <w:i/>
          <w:sz w:val="24"/>
          <w:szCs w:val="24"/>
        </w:rPr>
      </w:pPr>
    </w:p>
    <w:p w:rsidR="00B548AD" w:rsidRPr="00B548AD" w:rsidRDefault="00B548AD" w:rsidP="00B548AD">
      <w:pPr>
        <w:spacing w:line="240" w:lineRule="auto"/>
        <w:jc w:val="both"/>
        <w:rPr>
          <w:rFonts w:ascii="Times New Roman" w:eastAsiaTheme="minorHAnsi" w:hAnsi="Times New Roman"/>
          <w:bCs/>
          <w:sz w:val="24"/>
        </w:rPr>
      </w:pPr>
      <w:r w:rsidRPr="00B548AD">
        <w:rPr>
          <w:rFonts w:ascii="Times New Roman" w:eastAsiaTheme="minorHAnsi" w:hAnsi="Times New Roman"/>
          <w:bCs/>
          <w:sz w:val="24"/>
        </w:rPr>
        <w:t>In the Finance Act 2015 provision has been made to allow the RGD to enforce payment</w:t>
      </w:r>
      <w:r w:rsidR="000B054E">
        <w:rPr>
          <w:rFonts w:ascii="Times New Roman" w:eastAsiaTheme="minorHAnsi" w:hAnsi="Times New Roman"/>
          <w:bCs/>
          <w:sz w:val="24"/>
        </w:rPr>
        <w:t xml:space="preserve"> </w:t>
      </w:r>
      <w:r w:rsidRPr="00B548AD">
        <w:rPr>
          <w:rFonts w:ascii="Times New Roman" w:eastAsiaTheme="minorHAnsi" w:hAnsi="Times New Roman"/>
          <w:bCs/>
          <w:sz w:val="24"/>
        </w:rPr>
        <w:t>through Attachment Orders.</w:t>
      </w:r>
    </w:p>
    <w:p w:rsidR="00B548AD" w:rsidRPr="00B548AD" w:rsidRDefault="00B548AD" w:rsidP="00B548AD">
      <w:pPr>
        <w:spacing w:after="0" w:line="240" w:lineRule="auto"/>
        <w:jc w:val="both"/>
        <w:rPr>
          <w:rFonts w:ascii="Times New Roman" w:eastAsia="Book Antiqua" w:hAnsi="Times New Roman"/>
          <w:sz w:val="24"/>
          <w:szCs w:val="24"/>
        </w:rPr>
      </w:pPr>
      <w:r w:rsidRPr="00B548AD">
        <w:rPr>
          <w:rFonts w:ascii="Times New Roman" w:eastAsia="Book Antiqua" w:hAnsi="Times New Roman"/>
          <w:sz w:val="24"/>
          <w:szCs w:val="24"/>
        </w:rPr>
        <w:t xml:space="preserve">This Office reiterates its recommendation for the establishment of Valuation Roll whereby the value of immovable property will be available prior to registration. This office is strongly in </w:t>
      </w:r>
      <w:proofErr w:type="spellStart"/>
      <w:r w:rsidRPr="00B548AD">
        <w:rPr>
          <w:rFonts w:ascii="Times New Roman" w:eastAsia="Book Antiqua" w:hAnsi="Times New Roman"/>
          <w:sz w:val="24"/>
          <w:szCs w:val="24"/>
        </w:rPr>
        <w:t>favour</w:t>
      </w:r>
      <w:proofErr w:type="spellEnd"/>
      <w:r w:rsidRPr="00B548AD">
        <w:rPr>
          <w:rFonts w:ascii="Times New Roman" w:eastAsia="Book Antiqua" w:hAnsi="Times New Roman"/>
          <w:sz w:val="24"/>
          <w:szCs w:val="24"/>
        </w:rPr>
        <w:t xml:space="preserve"> of Valuation Roll.</w:t>
      </w:r>
    </w:p>
    <w:p w:rsidR="00B548AD" w:rsidRPr="00B548AD" w:rsidRDefault="00B548AD" w:rsidP="00B548AD">
      <w:pPr>
        <w:spacing w:after="0" w:line="240" w:lineRule="auto"/>
        <w:jc w:val="both"/>
        <w:rPr>
          <w:rFonts w:ascii="Times New Roman" w:eastAsia="Book Antiqua" w:hAnsi="Times New Roman"/>
          <w:sz w:val="24"/>
          <w:szCs w:val="24"/>
        </w:rPr>
      </w:pPr>
    </w:p>
    <w:p w:rsidR="00923355" w:rsidRDefault="00B548AD" w:rsidP="00A56801">
      <w:pPr>
        <w:spacing w:line="240" w:lineRule="auto"/>
        <w:jc w:val="both"/>
        <w:rPr>
          <w:rFonts w:ascii="Times New Roman" w:eastAsiaTheme="minorHAnsi" w:hAnsi="Times New Roman"/>
          <w:bCs/>
          <w:sz w:val="24"/>
        </w:rPr>
      </w:pPr>
      <w:r w:rsidRPr="00B548AD">
        <w:rPr>
          <w:rFonts w:ascii="Times New Roman" w:eastAsiaTheme="minorHAnsi" w:hAnsi="Times New Roman"/>
          <w:bCs/>
          <w:sz w:val="24"/>
        </w:rPr>
        <w:t>Valuation of property prior to Registration is a matter of policy decision. Same will be implemented once a policy decision is taken.</w:t>
      </w:r>
    </w:p>
    <w:p w:rsidR="005C1548" w:rsidRDefault="005C1548" w:rsidP="00A56801">
      <w:pPr>
        <w:spacing w:line="240" w:lineRule="auto"/>
        <w:jc w:val="both"/>
      </w:pPr>
    </w:p>
    <w:sectPr w:rsidR="005C1548" w:rsidSect="00C71C95">
      <w:footerReference w:type="default" r:id="rId8"/>
      <w:headerReference w:type="first" r:id="rId9"/>
      <w:footerReference w:type="first" r:id="rId10"/>
      <w:pgSz w:w="11907" w:h="16839" w:code="9"/>
      <w:pgMar w:top="1440" w:right="1440" w:bottom="1440" w:left="1440" w:header="706" w:footer="288" w:gutter="0"/>
      <w:pgNumType w:start="12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5E7" w:rsidRDefault="00C525E7" w:rsidP="00A164D8">
      <w:pPr>
        <w:spacing w:after="0" w:line="240" w:lineRule="auto"/>
      </w:pPr>
      <w:r>
        <w:separator/>
      </w:r>
    </w:p>
  </w:endnote>
  <w:endnote w:type="continuationSeparator" w:id="0">
    <w:p w:rsidR="00C525E7" w:rsidRDefault="00C525E7" w:rsidP="00A16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5431"/>
      <w:docPartObj>
        <w:docPartGallery w:val="Page Numbers (Bottom of Page)"/>
        <w:docPartUnique/>
      </w:docPartObj>
    </w:sdtPr>
    <w:sdtEndPr>
      <w:rPr>
        <w:rFonts w:ascii="Times New Roman" w:hAnsi="Times New Roman"/>
        <w:sz w:val="24"/>
        <w:szCs w:val="24"/>
      </w:rPr>
    </w:sdtEndPr>
    <w:sdtContent>
      <w:p w:rsidR="00C525E7" w:rsidRDefault="007B26B0" w:rsidP="00A164D8">
        <w:pPr>
          <w:pStyle w:val="Footer"/>
          <w:jc w:val="center"/>
          <w:rPr>
            <w:rFonts w:ascii="Times New Roman" w:hAnsi="Times New Roman"/>
            <w:sz w:val="24"/>
            <w:szCs w:val="24"/>
          </w:rPr>
        </w:pPr>
        <w:r w:rsidRPr="00966BF4">
          <w:rPr>
            <w:rFonts w:ascii="Times New Roman" w:hAnsi="Times New Roman"/>
            <w:sz w:val="24"/>
            <w:szCs w:val="24"/>
          </w:rPr>
          <w:fldChar w:fldCharType="begin"/>
        </w:r>
        <w:r w:rsidR="00C525E7" w:rsidRPr="00966BF4">
          <w:rPr>
            <w:rFonts w:ascii="Times New Roman" w:hAnsi="Times New Roman"/>
            <w:sz w:val="24"/>
            <w:szCs w:val="24"/>
          </w:rPr>
          <w:instrText xml:space="preserve"> PAGE   \* MERGEFORMAT </w:instrText>
        </w:r>
        <w:r w:rsidRPr="00966BF4">
          <w:rPr>
            <w:rFonts w:ascii="Times New Roman" w:hAnsi="Times New Roman"/>
            <w:sz w:val="24"/>
            <w:szCs w:val="24"/>
          </w:rPr>
          <w:fldChar w:fldCharType="separate"/>
        </w:r>
        <w:r w:rsidR="0044798D">
          <w:rPr>
            <w:rFonts w:ascii="Times New Roman" w:hAnsi="Times New Roman"/>
            <w:noProof/>
            <w:sz w:val="24"/>
            <w:szCs w:val="24"/>
          </w:rPr>
          <w:t>138</w:t>
        </w:r>
        <w:r w:rsidRPr="00966BF4">
          <w:rPr>
            <w:rFonts w:ascii="Times New Roman" w:hAnsi="Times New Roman"/>
            <w:sz w:val="24"/>
            <w:szCs w:val="24"/>
          </w:rPr>
          <w:fldChar w:fldCharType="end"/>
        </w:r>
      </w:p>
      <w:p w:rsidR="00C525E7" w:rsidRPr="00966BF4" w:rsidRDefault="00C525E7" w:rsidP="00A164D8">
        <w:pPr>
          <w:tabs>
            <w:tab w:val="center" w:pos="4680"/>
            <w:tab w:val="right" w:pos="9360"/>
          </w:tabs>
          <w:spacing w:after="0" w:line="240" w:lineRule="auto"/>
          <w:jc w:val="center"/>
          <w:rPr>
            <w:rFonts w:ascii="Times New Roman" w:hAnsi="Times New Roman"/>
            <w:sz w:val="24"/>
            <w:szCs w:val="24"/>
          </w:rPr>
        </w:pPr>
        <w:r w:rsidRPr="00966BF4">
          <w:rPr>
            <w:rFonts w:ascii="Times New Roman" w:hAnsi="Times New Roman"/>
            <w:smallCaps/>
            <w:sz w:val="18"/>
            <w:szCs w:val="18"/>
          </w:rPr>
          <w:t>Vice- Prime Minister’s Office, Ministry of Finance and Economic Development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4383"/>
      <w:docPartObj>
        <w:docPartGallery w:val="Page Numbers (Bottom of Page)"/>
        <w:docPartUnique/>
      </w:docPartObj>
    </w:sdtPr>
    <w:sdtEndPr>
      <w:rPr>
        <w:rFonts w:ascii="Times New Roman" w:hAnsi="Times New Roman"/>
        <w:sz w:val="24"/>
        <w:szCs w:val="24"/>
      </w:rPr>
    </w:sdtEndPr>
    <w:sdtContent>
      <w:p w:rsidR="00C525E7" w:rsidRPr="00E0732A" w:rsidRDefault="007B26B0">
        <w:pPr>
          <w:pStyle w:val="Footer"/>
          <w:jc w:val="center"/>
          <w:rPr>
            <w:rFonts w:ascii="Times New Roman" w:hAnsi="Times New Roman"/>
            <w:sz w:val="24"/>
            <w:szCs w:val="24"/>
          </w:rPr>
        </w:pPr>
        <w:r w:rsidRPr="00E0732A">
          <w:rPr>
            <w:rFonts w:ascii="Times New Roman" w:hAnsi="Times New Roman"/>
            <w:sz w:val="24"/>
            <w:szCs w:val="24"/>
          </w:rPr>
          <w:fldChar w:fldCharType="begin"/>
        </w:r>
        <w:r w:rsidR="00C525E7" w:rsidRPr="00E0732A">
          <w:rPr>
            <w:rFonts w:ascii="Times New Roman" w:hAnsi="Times New Roman"/>
            <w:sz w:val="24"/>
            <w:szCs w:val="24"/>
          </w:rPr>
          <w:instrText xml:space="preserve"> PAGE   \* MERGEFORMAT </w:instrText>
        </w:r>
        <w:r w:rsidRPr="00E0732A">
          <w:rPr>
            <w:rFonts w:ascii="Times New Roman" w:hAnsi="Times New Roman"/>
            <w:sz w:val="24"/>
            <w:szCs w:val="24"/>
          </w:rPr>
          <w:fldChar w:fldCharType="separate"/>
        </w:r>
        <w:r w:rsidR="0044798D">
          <w:rPr>
            <w:rFonts w:ascii="Times New Roman" w:hAnsi="Times New Roman"/>
            <w:noProof/>
            <w:sz w:val="24"/>
            <w:szCs w:val="24"/>
          </w:rPr>
          <w:t>123</w:t>
        </w:r>
        <w:r w:rsidRPr="00E0732A">
          <w:rPr>
            <w:rFonts w:ascii="Times New Roman" w:hAnsi="Times New Roman"/>
            <w:sz w:val="24"/>
            <w:szCs w:val="24"/>
          </w:rPr>
          <w:fldChar w:fldCharType="end"/>
        </w:r>
      </w:p>
    </w:sdtContent>
  </w:sdt>
  <w:p w:rsidR="00C525E7" w:rsidRPr="00E0732A" w:rsidRDefault="00C525E7" w:rsidP="00E0732A">
    <w:pPr>
      <w:pStyle w:val="Footer"/>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5E7" w:rsidRDefault="00C525E7" w:rsidP="00A164D8">
      <w:pPr>
        <w:spacing w:after="0" w:line="240" w:lineRule="auto"/>
      </w:pPr>
      <w:r>
        <w:separator/>
      </w:r>
    </w:p>
  </w:footnote>
  <w:footnote w:type="continuationSeparator" w:id="0">
    <w:p w:rsidR="00C525E7" w:rsidRDefault="00C525E7" w:rsidP="00A164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E7" w:rsidRDefault="00C525E7" w:rsidP="00E0732A">
    <w:pPr>
      <w:tabs>
        <w:tab w:val="center" w:pos="4680"/>
        <w:tab w:val="right" w:pos="9360"/>
      </w:tabs>
      <w:spacing w:after="0" w:line="240" w:lineRule="auto"/>
      <w:jc w:val="center"/>
    </w:pPr>
    <w:r w:rsidRPr="0066041E">
      <w:rPr>
        <w:rFonts w:ascii="Times New Roman" w:hAnsi="Times New Roman"/>
        <w:b/>
        <w:smallCaps/>
        <w:sz w:val="40"/>
        <w:szCs w:val="40"/>
      </w:rPr>
      <w:t>6 - Vice- Prime Minister’s Office, Ministry of Finance and Economic Development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D35"/>
    <w:multiLevelType w:val="hybridMultilevel"/>
    <w:tmpl w:val="A0766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91AAB"/>
    <w:multiLevelType w:val="hybridMultilevel"/>
    <w:tmpl w:val="78F2411A"/>
    <w:lvl w:ilvl="0" w:tplc="657A7D4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D5FD8"/>
    <w:multiLevelType w:val="hybridMultilevel"/>
    <w:tmpl w:val="3CB07B64"/>
    <w:lvl w:ilvl="0" w:tplc="A0FA0E8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0158FC"/>
    <w:multiLevelType w:val="hybridMultilevel"/>
    <w:tmpl w:val="EA68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F457D"/>
    <w:multiLevelType w:val="hybridMultilevel"/>
    <w:tmpl w:val="23F0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E51E5"/>
    <w:multiLevelType w:val="hybridMultilevel"/>
    <w:tmpl w:val="74D0D3CC"/>
    <w:lvl w:ilvl="0" w:tplc="0409000B">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E2120B"/>
    <w:multiLevelType w:val="hybridMultilevel"/>
    <w:tmpl w:val="D6724F9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55ECF"/>
    <w:multiLevelType w:val="hybridMultilevel"/>
    <w:tmpl w:val="D1568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61D4F"/>
    <w:multiLevelType w:val="hybridMultilevel"/>
    <w:tmpl w:val="212A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3252B"/>
    <w:multiLevelType w:val="hybridMultilevel"/>
    <w:tmpl w:val="F88CC11C"/>
    <w:lvl w:ilvl="0" w:tplc="51D25D18">
      <w:start w:val="1"/>
      <w:numFmt w:val="lowerLetter"/>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164A5"/>
    <w:multiLevelType w:val="hybridMultilevel"/>
    <w:tmpl w:val="B9823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67F5F"/>
    <w:multiLevelType w:val="hybridMultilevel"/>
    <w:tmpl w:val="7DCEC8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601320"/>
    <w:multiLevelType w:val="hybridMultilevel"/>
    <w:tmpl w:val="1F126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31A89"/>
    <w:multiLevelType w:val="hybridMultilevel"/>
    <w:tmpl w:val="4432A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506FA"/>
    <w:multiLevelType w:val="hybridMultilevel"/>
    <w:tmpl w:val="8A042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75E26"/>
    <w:multiLevelType w:val="hybridMultilevel"/>
    <w:tmpl w:val="4BC0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F40B5"/>
    <w:multiLevelType w:val="hybridMultilevel"/>
    <w:tmpl w:val="60AABEFE"/>
    <w:lvl w:ilvl="0" w:tplc="0409000B">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E27DA5"/>
    <w:multiLevelType w:val="hybridMultilevel"/>
    <w:tmpl w:val="EDF0C9B8"/>
    <w:lvl w:ilvl="0" w:tplc="E9C4837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B0E46"/>
    <w:multiLevelType w:val="hybridMultilevel"/>
    <w:tmpl w:val="75D85C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457908"/>
    <w:multiLevelType w:val="hybridMultilevel"/>
    <w:tmpl w:val="CBDAD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6C60DA"/>
    <w:multiLevelType w:val="hybridMultilevel"/>
    <w:tmpl w:val="8BB62A2A"/>
    <w:lvl w:ilvl="0" w:tplc="657A7D4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C0785"/>
    <w:multiLevelType w:val="hybridMultilevel"/>
    <w:tmpl w:val="42147632"/>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41F81"/>
    <w:multiLevelType w:val="hybridMultilevel"/>
    <w:tmpl w:val="9AF2CEA2"/>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7B0D14"/>
    <w:multiLevelType w:val="hybridMultilevel"/>
    <w:tmpl w:val="D0EEC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1949AD"/>
    <w:multiLevelType w:val="hybridMultilevel"/>
    <w:tmpl w:val="70D40774"/>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59CF30B0"/>
    <w:multiLevelType w:val="hybridMultilevel"/>
    <w:tmpl w:val="4330F4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961927"/>
    <w:multiLevelType w:val="hybridMultilevel"/>
    <w:tmpl w:val="6CA4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DB7CD7"/>
    <w:multiLevelType w:val="hybridMultilevel"/>
    <w:tmpl w:val="37C8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D901DC"/>
    <w:multiLevelType w:val="hybridMultilevel"/>
    <w:tmpl w:val="E14CC2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BD5A18"/>
    <w:multiLevelType w:val="hybridMultilevel"/>
    <w:tmpl w:val="32BC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CC01C0"/>
    <w:multiLevelType w:val="hybridMultilevel"/>
    <w:tmpl w:val="835E2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754454"/>
    <w:multiLevelType w:val="hybridMultilevel"/>
    <w:tmpl w:val="1EFE7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D23A15"/>
    <w:multiLevelType w:val="hybridMultilevel"/>
    <w:tmpl w:val="0E982110"/>
    <w:lvl w:ilvl="0" w:tplc="0409000B">
      <w:start w:val="1"/>
      <w:numFmt w:val="bullet"/>
      <w:lvlText w:val=""/>
      <w:lvlJc w:val="left"/>
      <w:pPr>
        <w:ind w:left="540" w:hanging="720"/>
      </w:pPr>
      <w:rPr>
        <w:rFonts w:ascii="Wingdings" w:hAnsi="Wingding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nsid w:val="7FA360D8"/>
    <w:multiLevelType w:val="hybridMultilevel"/>
    <w:tmpl w:val="059ED1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5"/>
  </w:num>
  <w:num w:numId="3">
    <w:abstractNumId w:val="9"/>
  </w:num>
  <w:num w:numId="4">
    <w:abstractNumId w:val="4"/>
  </w:num>
  <w:num w:numId="5">
    <w:abstractNumId w:val="26"/>
  </w:num>
  <w:num w:numId="6">
    <w:abstractNumId w:val="3"/>
  </w:num>
  <w:num w:numId="7">
    <w:abstractNumId w:val="5"/>
  </w:num>
  <w:num w:numId="8">
    <w:abstractNumId w:val="20"/>
  </w:num>
  <w:num w:numId="9">
    <w:abstractNumId w:val="1"/>
  </w:num>
  <w:num w:numId="10">
    <w:abstractNumId w:val="8"/>
  </w:num>
  <w:num w:numId="11">
    <w:abstractNumId w:val="2"/>
  </w:num>
  <w:num w:numId="12">
    <w:abstractNumId w:val="17"/>
  </w:num>
  <w:num w:numId="13">
    <w:abstractNumId w:val="13"/>
  </w:num>
  <w:num w:numId="14">
    <w:abstractNumId w:val="10"/>
  </w:num>
  <w:num w:numId="15">
    <w:abstractNumId w:val="30"/>
  </w:num>
  <w:num w:numId="16">
    <w:abstractNumId w:val="0"/>
  </w:num>
  <w:num w:numId="17">
    <w:abstractNumId w:val="31"/>
  </w:num>
  <w:num w:numId="18">
    <w:abstractNumId w:val="16"/>
  </w:num>
  <w:num w:numId="19">
    <w:abstractNumId w:val="6"/>
  </w:num>
  <w:num w:numId="20">
    <w:abstractNumId w:val="21"/>
  </w:num>
  <w:num w:numId="21">
    <w:abstractNumId w:val="22"/>
  </w:num>
  <w:num w:numId="22">
    <w:abstractNumId w:val="23"/>
  </w:num>
  <w:num w:numId="23">
    <w:abstractNumId w:val="18"/>
  </w:num>
  <w:num w:numId="24">
    <w:abstractNumId w:val="27"/>
  </w:num>
  <w:num w:numId="25">
    <w:abstractNumId w:val="11"/>
  </w:num>
  <w:num w:numId="26">
    <w:abstractNumId w:val="33"/>
  </w:num>
  <w:num w:numId="27">
    <w:abstractNumId w:val="14"/>
  </w:num>
  <w:num w:numId="28">
    <w:abstractNumId w:val="32"/>
  </w:num>
  <w:num w:numId="29">
    <w:abstractNumId w:val="7"/>
  </w:num>
  <w:num w:numId="30">
    <w:abstractNumId w:val="12"/>
  </w:num>
  <w:num w:numId="31">
    <w:abstractNumId w:val="28"/>
  </w:num>
  <w:num w:numId="32">
    <w:abstractNumId w:val="25"/>
  </w:num>
  <w:num w:numId="33">
    <w:abstractNumId w:val="19"/>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C1548"/>
    <w:rsid w:val="00001DAA"/>
    <w:rsid w:val="00005038"/>
    <w:rsid w:val="0000509B"/>
    <w:rsid w:val="00006575"/>
    <w:rsid w:val="00006DEF"/>
    <w:rsid w:val="00013D97"/>
    <w:rsid w:val="00017723"/>
    <w:rsid w:val="00020909"/>
    <w:rsid w:val="00020BB1"/>
    <w:rsid w:val="00022DA2"/>
    <w:rsid w:val="00032C67"/>
    <w:rsid w:val="00040D73"/>
    <w:rsid w:val="00042011"/>
    <w:rsid w:val="00042202"/>
    <w:rsid w:val="00042A7B"/>
    <w:rsid w:val="0004347A"/>
    <w:rsid w:val="00054F53"/>
    <w:rsid w:val="000556ED"/>
    <w:rsid w:val="000567AA"/>
    <w:rsid w:val="00057629"/>
    <w:rsid w:val="00057D3E"/>
    <w:rsid w:val="00061FEA"/>
    <w:rsid w:val="00066363"/>
    <w:rsid w:val="0006794D"/>
    <w:rsid w:val="00073EBC"/>
    <w:rsid w:val="00084E97"/>
    <w:rsid w:val="00096417"/>
    <w:rsid w:val="000972F5"/>
    <w:rsid w:val="00097636"/>
    <w:rsid w:val="000A37E5"/>
    <w:rsid w:val="000A3C3A"/>
    <w:rsid w:val="000B054E"/>
    <w:rsid w:val="000D7862"/>
    <w:rsid w:val="000D78CE"/>
    <w:rsid w:val="000E0168"/>
    <w:rsid w:val="000E1349"/>
    <w:rsid w:val="000F071F"/>
    <w:rsid w:val="000F10E7"/>
    <w:rsid w:val="000F2C12"/>
    <w:rsid w:val="000F72F9"/>
    <w:rsid w:val="000F7EF5"/>
    <w:rsid w:val="00102588"/>
    <w:rsid w:val="00106B77"/>
    <w:rsid w:val="001109D0"/>
    <w:rsid w:val="001148A1"/>
    <w:rsid w:val="00114BEA"/>
    <w:rsid w:val="0011563F"/>
    <w:rsid w:val="00115777"/>
    <w:rsid w:val="001201AA"/>
    <w:rsid w:val="001203F1"/>
    <w:rsid w:val="00125441"/>
    <w:rsid w:val="00127C2B"/>
    <w:rsid w:val="0013010F"/>
    <w:rsid w:val="00135E76"/>
    <w:rsid w:val="00140689"/>
    <w:rsid w:val="00141486"/>
    <w:rsid w:val="00145552"/>
    <w:rsid w:val="00147321"/>
    <w:rsid w:val="0014768A"/>
    <w:rsid w:val="00147BA2"/>
    <w:rsid w:val="001567B1"/>
    <w:rsid w:val="001649E8"/>
    <w:rsid w:val="00164CC6"/>
    <w:rsid w:val="001712A5"/>
    <w:rsid w:val="00173C1E"/>
    <w:rsid w:val="001807BC"/>
    <w:rsid w:val="0018257C"/>
    <w:rsid w:val="001837F3"/>
    <w:rsid w:val="0019175B"/>
    <w:rsid w:val="00192E0C"/>
    <w:rsid w:val="001A2CAF"/>
    <w:rsid w:val="001B4F68"/>
    <w:rsid w:val="001B74EC"/>
    <w:rsid w:val="001B776D"/>
    <w:rsid w:val="001C1BC3"/>
    <w:rsid w:val="001D224D"/>
    <w:rsid w:val="001D644E"/>
    <w:rsid w:val="001D7E3E"/>
    <w:rsid w:val="001F5E30"/>
    <w:rsid w:val="0020645A"/>
    <w:rsid w:val="00211092"/>
    <w:rsid w:val="00213973"/>
    <w:rsid w:val="0021453E"/>
    <w:rsid w:val="00223BD8"/>
    <w:rsid w:val="0022714C"/>
    <w:rsid w:val="00231CFD"/>
    <w:rsid w:val="00235B4E"/>
    <w:rsid w:val="002360FF"/>
    <w:rsid w:val="002406C0"/>
    <w:rsid w:val="0024772B"/>
    <w:rsid w:val="0025229B"/>
    <w:rsid w:val="002529FC"/>
    <w:rsid w:val="0025496D"/>
    <w:rsid w:val="002552F3"/>
    <w:rsid w:val="00255CAE"/>
    <w:rsid w:val="00257E4F"/>
    <w:rsid w:val="00264FD5"/>
    <w:rsid w:val="0027318A"/>
    <w:rsid w:val="00273D1C"/>
    <w:rsid w:val="0027751C"/>
    <w:rsid w:val="00281A61"/>
    <w:rsid w:val="00283086"/>
    <w:rsid w:val="00293FE0"/>
    <w:rsid w:val="0029459A"/>
    <w:rsid w:val="002A03AF"/>
    <w:rsid w:val="002A1768"/>
    <w:rsid w:val="002A2B6D"/>
    <w:rsid w:val="002A2DA8"/>
    <w:rsid w:val="002A7437"/>
    <w:rsid w:val="002A7810"/>
    <w:rsid w:val="002B02D6"/>
    <w:rsid w:val="002B1138"/>
    <w:rsid w:val="002C1008"/>
    <w:rsid w:val="002C559A"/>
    <w:rsid w:val="002C59A9"/>
    <w:rsid w:val="002C750D"/>
    <w:rsid w:val="002D1DED"/>
    <w:rsid w:val="002D69C1"/>
    <w:rsid w:val="002E0AF9"/>
    <w:rsid w:val="002E666A"/>
    <w:rsid w:val="002E76AE"/>
    <w:rsid w:val="002F31A7"/>
    <w:rsid w:val="002F41DA"/>
    <w:rsid w:val="002F71F1"/>
    <w:rsid w:val="002F7BC0"/>
    <w:rsid w:val="00304685"/>
    <w:rsid w:val="003123CA"/>
    <w:rsid w:val="003177A6"/>
    <w:rsid w:val="0032784D"/>
    <w:rsid w:val="00333731"/>
    <w:rsid w:val="00333F43"/>
    <w:rsid w:val="00336311"/>
    <w:rsid w:val="003404C4"/>
    <w:rsid w:val="00340B52"/>
    <w:rsid w:val="003411D5"/>
    <w:rsid w:val="003418EB"/>
    <w:rsid w:val="003448EE"/>
    <w:rsid w:val="003467D6"/>
    <w:rsid w:val="00352572"/>
    <w:rsid w:val="00365818"/>
    <w:rsid w:val="003669A8"/>
    <w:rsid w:val="003705B6"/>
    <w:rsid w:val="0037715F"/>
    <w:rsid w:val="00383BE4"/>
    <w:rsid w:val="00384F2F"/>
    <w:rsid w:val="003917CC"/>
    <w:rsid w:val="003928B7"/>
    <w:rsid w:val="0039731B"/>
    <w:rsid w:val="003A4ACB"/>
    <w:rsid w:val="003A5F11"/>
    <w:rsid w:val="003A74AC"/>
    <w:rsid w:val="003B28BC"/>
    <w:rsid w:val="003B7031"/>
    <w:rsid w:val="003C2184"/>
    <w:rsid w:val="003C409E"/>
    <w:rsid w:val="003C7EDE"/>
    <w:rsid w:val="003D7AA6"/>
    <w:rsid w:val="003E20C2"/>
    <w:rsid w:val="003E520A"/>
    <w:rsid w:val="003E66CE"/>
    <w:rsid w:val="003E66F8"/>
    <w:rsid w:val="003F28C0"/>
    <w:rsid w:val="003F4455"/>
    <w:rsid w:val="003F7220"/>
    <w:rsid w:val="0040485D"/>
    <w:rsid w:val="004062C6"/>
    <w:rsid w:val="004078F5"/>
    <w:rsid w:val="00407F7D"/>
    <w:rsid w:val="00410D18"/>
    <w:rsid w:val="00420308"/>
    <w:rsid w:val="00420ACB"/>
    <w:rsid w:val="004213F6"/>
    <w:rsid w:val="00423355"/>
    <w:rsid w:val="00423E64"/>
    <w:rsid w:val="00425B4F"/>
    <w:rsid w:val="004368D1"/>
    <w:rsid w:val="00440307"/>
    <w:rsid w:val="00440958"/>
    <w:rsid w:val="0044180A"/>
    <w:rsid w:val="00443DC2"/>
    <w:rsid w:val="00444E21"/>
    <w:rsid w:val="0044798D"/>
    <w:rsid w:val="0045296F"/>
    <w:rsid w:val="0045658D"/>
    <w:rsid w:val="00457BB2"/>
    <w:rsid w:val="004658B5"/>
    <w:rsid w:val="0046638D"/>
    <w:rsid w:val="00472E3E"/>
    <w:rsid w:val="00473784"/>
    <w:rsid w:val="0047455E"/>
    <w:rsid w:val="00486036"/>
    <w:rsid w:val="00487C1A"/>
    <w:rsid w:val="00496380"/>
    <w:rsid w:val="004A165A"/>
    <w:rsid w:val="004A24D8"/>
    <w:rsid w:val="004A3699"/>
    <w:rsid w:val="004A4D14"/>
    <w:rsid w:val="004B6BE7"/>
    <w:rsid w:val="004B6D2D"/>
    <w:rsid w:val="004C401B"/>
    <w:rsid w:val="004D3A98"/>
    <w:rsid w:val="004D6C73"/>
    <w:rsid w:val="004E3914"/>
    <w:rsid w:val="004E4F8D"/>
    <w:rsid w:val="004E7ACA"/>
    <w:rsid w:val="004F75E8"/>
    <w:rsid w:val="00500BDD"/>
    <w:rsid w:val="00506E49"/>
    <w:rsid w:val="00516027"/>
    <w:rsid w:val="0052339F"/>
    <w:rsid w:val="00525716"/>
    <w:rsid w:val="005279D7"/>
    <w:rsid w:val="00531149"/>
    <w:rsid w:val="0054068F"/>
    <w:rsid w:val="00544840"/>
    <w:rsid w:val="005453F3"/>
    <w:rsid w:val="005503E4"/>
    <w:rsid w:val="00550943"/>
    <w:rsid w:val="00551518"/>
    <w:rsid w:val="00555287"/>
    <w:rsid w:val="005555F5"/>
    <w:rsid w:val="00570138"/>
    <w:rsid w:val="005756BC"/>
    <w:rsid w:val="00583015"/>
    <w:rsid w:val="00584CB2"/>
    <w:rsid w:val="00584FB0"/>
    <w:rsid w:val="00585351"/>
    <w:rsid w:val="00587911"/>
    <w:rsid w:val="00591650"/>
    <w:rsid w:val="00591C6B"/>
    <w:rsid w:val="00596EBA"/>
    <w:rsid w:val="005A0DD1"/>
    <w:rsid w:val="005A1A2C"/>
    <w:rsid w:val="005A23E8"/>
    <w:rsid w:val="005A4777"/>
    <w:rsid w:val="005B1E00"/>
    <w:rsid w:val="005B5689"/>
    <w:rsid w:val="005B677A"/>
    <w:rsid w:val="005C1548"/>
    <w:rsid w:val="005C507B"/>
    <w:rsid w:val="005D2863"/>
    <w:rsid w:val="005D5F92"/>
    <w:rsid w:val="005D7524"/>
    <w:rsid w:val="005E14CB"/>
    <w:rsid w:val="005E40D7"/>
    <w:rsid w:val="005E4A63"/>
    <w:rsid w:val="005F0F80"/>
    <w:rsid w:val="00603597"/>
    <w:rsid w:val="0060389A"/>
    <w:rsid w:val="0061183C"/>
    <w:rsid w:val="00611D66"/>
    <w:rsid w:val="00615729"/>
    <w:rsid w:val="00616CF2"/>
    <w:rsid w:val="0062030F"/>
    <w:rsid w:val="006208AD"/>
    <w:rsid w:val="00623163"/>
    <w:rsid w:val="00623F7A"/>
    <w:rsid w:val="00634C35"/>
    <w:rsid w:val="00635B2F"/>
    <w:rsid w:val="006405E6"/>
    <w:rsid w:val="00647F68"/>
    <w:rsid w:val="00647FC9"/>
    <w:rsid w:val="006527FE"/>
    <w:rsid w:val="00655965"/>
    <w:rsid w:val="0066287F"/>
    <w:rsid w:val="00692167"/>
    <w:rsid w:val="00694E51"/>
    <w:rsid w:val="006A255B"/>
    <w:rsid w:val="006A68CE"/>
    <w:rsid w:val="006A6B60"/>
    <w:rsid w:val="006A6EEC"/>
    <w:rsid w:val="006A79F7"/>
    <w:rsid w:val="006B6047"/>
    <w:rsid w:val="006B7CE1"/>
    <w:rsid w:val="006C0674"/>
    <w:rsid w:val="006C0FAB"/>
    <w:rsid w:val="006C135B"/>
    <w:rsid w:val="006C302D"/>
    <w:rsid w:val="006D4277"/>
    <w:rsid w:val="006D615C"/>
    <w:rsid w:val="006E5E34"/>
    <w:rsid w:val="006E5F67"/>
    <w:rsid w:val="006F23BD"/>
    <w:rsid w:val="006F6881"/>
    <w:rsid w:val="006F7334"/>
    <w:rsid w:val="00704940"/>
    <w:rsid w:val="00706E09"/>
    <w:rsid w:val="00707894"/>
    <w:rsid w:val="00723C9A"/>
    <w:rsid w:val="00725044"/>
    <w:rsid w:val="00726188"/>
    <w:rsid w:val="007458B0"/>
    <w:rsid w:val="00745A7C"/>
    <w:rsid w:val="00746131"/>
    <w:rsid w:val="007461B3"/>
    <w:rsid w:val="00752CF6"/>
    <w:rsid w:val="00753041"/>
    <w:rsid w:val="00754F0E"/>
    <w:rsid w:val="00763E7C"/>
    <w:rsid w:val="0076552B"/>
    <w:rsid w:val="007660DE"/>
    <w:rsid w:val="00766EB0"/>
    <w:rsid w:val="00767459"/>
    <w:rsid w:val="00770D3F"/>
    <w:rsid w:val="0077443B"/>
    <w:rsid w:val="00785DEA"/>
    <w:rsid w:val="00785EA2"/>
    <w:rsid w:val="00786840"/>
    <w:rsid w:val="00791A69"/>
    <w:rsid w:val="00793810"/>
    <w:rsid w:val="00794618"/>
    <w:rsid w:val="007A3918"/>
    <w:rsid w:val="007A4003"/>
    <w:rsid w:val="007A4BDD"/>
    <w:rsid w:val="007A6214"/>
    <w:rsid w:val="007B26B0"/>
    <w:rsid w:val="007B394D"/>
    <w:rsid w:val="007D21B3"/>
    <w:rsid w:val="007D2862"/>
    <w:rsid w:val="007D6F61"/>
    <w:rsid w:val="007E210A"/>
    <w:rsid w:val="007E4972"/>
    <w:rsid w:val="007E6D4F"/>
    <w:rsid w:val="007F2F3A"/>
    <w:rsid w:val="007F6025"/>
    <w:rsid w:val="008164B7"/>
    <w:rsid w:val="00830778"/>
    <w:rsid w:val="00832914"/>
    <w:rsid w:val="00834EBC"/>
    <w:rsid w:val="00842228"/>
    <w:rsid w:val="0084398C"/>
    <w:rsid w:val="0085462E"/>
    <w:rsid w:val="00860B20"/>
    <w:rsid w:val="00861D0B"/>
    <w:rsid w:val="00862529"/>
    <w:rsid w:val="00872C5C"/>
    <w:rsid w:val="008742F5"/>
    <w:rsid w:val="008805F5"/>
    <w:rsid w:val="0088215C"/>
    <w:rsid w:val="00882E08"/>
    <w:rsid w:val="00884511"/>
    <w:rsid w:val="0089575D"/>
    <w:rsid w:val="008A7786"/>
    <w:rsid w:val="008C0B06"/>
    <w:rsid w:val="008C7152"/>
    <w:rsid w:val="008C7681"/>
    <w:rsid w:val="008D1B6A"/>
    <w:rsid w:val="008D25FD"/>
    <w:rsid w:val="008E36C4"/>
    <w:rsid w:val="008E3F57"/>
    <w:rsid w:val="008E7AEF"/>
    <w:rsid w:val="008F0362"/>
    <w:rsid w:val="008F29BA"/>
    <w:rsid w:val="008F3A3C"/>
    <w:rsid w:val="008F7973"/>
    <w:rsid w:val="0090581B"/>
    <w:rsid w:val="0091031E"/>
    <w:rsid w:val="00910730"/>
    <w:rsid w:val="009143DD"/>
    <w:rsid w:val="0091632A"/>
    <w:rsid w:val="009205B9"/>
    <w:rsid w:val="00923355"/>
    <w:rsid w:val="00925721"/>
    <w:rsid w:val="00925E42"/>
    <w:rsid w:val="00926BC1"/>
    <w:rsid w:val="009342CE"/>
    <w:rsid w:val="00934EDD"/>
    <w:rsid w:val="0093572A"/>
    <w:rsid w:val="009365EE"/>
    <w:rsid w:val="009410B6"/>
    <w:rsid w:val="00945851"/>
    <w:rsid w:val="009458D1"/>
    <w:rsid w:val="0095779B"/>
    <w:rsid w:val="00963E93"/>
    <w:rsid w:val="0096443F"/>
    <w:rsid w:val="00971048"/>
    <w:rsid w:val="0097216B"/>
    <w:rsid w:val="009739CE"/>
    <w:rsid w:val="00974230"/>
    <w:rsid w:val="009745DE"/>
    <w:rsid w:val="009818B3"/>
    <w:rsid w:val="009838FB"/>
    <w:rsid w:val="009847F2"/>
    <w:rsid w:val="0098758B"/>
    <w:rsid w:val="009879C6"/>
    <w:rsid w:val="009918EF"/>
    <w:rsid w:val="00991F32"/>
    <w:rsid w:val="00993958"/>
    <w:rsid w:val="0099625F"/>
    <w:rsid w:val="009967DC"/>
    <w:rsid w:val="00997313"/>
    <w:rsid w:val="0099755F"/>
    <w:rsid w:val="00997DE6"/>
    <w:rsid w:val="009A34D4"/>
    <w:rsid w:val="009A39C9"/>
    <w:rsid w:val="009A596E"/>
    <w:rsid w:val="009A5F41"/>
    <w:rsid w:val="009B3B06"/>
    <w:rsid w:val="009B531F"/>
    <w:rsid w:val="009B5A05"/>
    <w:rsid w:val="009B6F9C"/>
    <w:rsid w:val="009C13D3"/>
    <w:rsid w:val="009D44A0"/>
    <w:rsid w:val="009E0A90"/>
    <w:rsid w:val="009E24AD"/>
    <w:rsid w:val="009F0008"/>
    <w:rsid w:val="009F07F1"/>
    <w:rsid w:val="009F1E16"/>
    <w:rsid w:val="009F35FF"/>
    <w:rsid w:val="00A04A3B"/>
    <w:rsid w:val="00A05DD9"/>
    <w:rsid w:val="00A10CD7"/>
    <w:rsid w:val="00A13B59"/>
    <w:rsid w:val="00A164D8"/>
    <w:rsid w:val="00A351C9"/>
    <w:rsid w:val="00A37128"/>
    <w:rsid w:val="00A44ECB"/>
    <w:rsid w:val="00A45D5B"/>
    <w:rsid w:val="00A45F25"/>
    <w:rsid w:val="00A46070"/>
    <w:rsid w:val="00A46757"/>
    <w:rsid w:val="00A47383"/>
    <w:rsid w:val="00A56241"/>
    <w:rsid w:val="00A56801"/>
    <w:rsid w:val="00A67239"/>
    <w:rsid w:val="00A819E3"/>
    <w:rsid w:val="00A93E73"/>
    <w:rsid w:val="00AA53E2"/>
    <w:rsid w:val="00AB199A"/>
    <w:rsid w:val="00AB1F1D"/>
    <w:rsid w:val="00AB2AC9"/>
    <w:rsid w:val="00AB42CA"/>
    <w:rsid w:val="00AB6347"/>
    <w:rsid w:val="00AB74B7"/>
    <w:rsid w:val="00AD1300"/>
    <w:rsid w:val="00AD1C93"/>
    <w:rsid w:val="00AD4D7A"/>
    <w:rsid w:val="00AD6E7A"/>
    <w:rsid w:val="00AE2D95"/>
    <w:rsid w:val="00AF2793"/>
    <w:rsid w:val="00AF2FB3"/>
    <w:rsid w:val="00AF40B9"/>
    <w:rsid w:val="00AF4194"/>
    <w:rsid w:val="00AF6283"/>
    <w:rsid w:val="00AF7BDC"/>
    <w:rsid w:val="00AF7CE7"/>
    <w:rsid w:val="00B12A25"/>
    <w:rsid w:val="00B21546"/>
    <w:rsid w:val="00B26054"/>
    <w:rsid w:val="00B264D1"/>
    <w:rsid w:val="00B34474"/>
    <w:rsid w:val="00B514AA"/>
    <w:rsid w:val="00B53885"/>
    <w:rsid w:val="00B548AD"/>
    <w:rsid w:val="00B55801"/>
    <w:rsid w:val="00B64CDD"/>
    <w:rsid w:val="00B661E5"/>
    <w:rsid w:val="00B6650C"/>
    <w:rsid w:val="00B71D54"/>
    <w:rsid w:val="00B767C1"/>
    <w:rsid w:val="00B854F5"/>
    <w:rsid w:val="00B879C2"/>
    <w:rsid w:val="00BA041D"/>
    <w:rsid w:val="00BA124C"/>
    <w:rsid w:val="00BA53EF"/>
    <w:rsid w:val="00BA660E"/>
    <w:rsid w:val="00BB2EB6"/>
    <w:rsid w:val="00BB4247"/>
    <w:rsid w:val="00BC22D3"/>
    <w:rsid w:val="00BC76C5"/>
    <w:rsid w:val="00BD09C9"/>
    <w:rsid w:val="00BD5EE8"/>
    <w:rsid w:val="00BF0079"/>
    <w:rsid w:val="00BF0E37"/>
    <w:rsid w:val="00BF35C2"/>
    <w:rsid w:val="00BF473C"/>
    <w:rsid w:val="00BF5235"/>
    <w:rsid w:val="00BF5560"/>
    <w:rsid w:val="00BF7BD7"/>
    <w:rsid w:val="00C002E8"/>
    <w:rsid w:val="00C00BB9"/>
    <w:rsid w:val="00C04B9E"/>
    <w:rsid w:val="00C05C5A"/>
    <w:rsid w:val="00C115FA"/>
    <w:rsid w:val="00C11C45"/>
    <w:rsid w:val="00C13BEA"/>
    <w:rsid w:val="00C13FEB"/>
    <w:rsid w:val="00C15592"/>
    <w:rsid w:val="00C25EE5"/>
    <w:rsid w:val="00C268E3"/>
    <w:rsid w:val="00C30FAD"/>
    <w:rsid w:val="00C42CAA"/>
    <w:rsid w:val="00C525E7"/>
    <w:rsid w:val="00C52E52"/>
    <w:rsid w:val="00C53572"/>
    <w:rsid w:val="00C55530"/>
    <w:rsid w:val="00C56295"/>
    <w:rsid w:val="00C56733"/>
    <w:rsid w:val="00C57108"/>
    <w:rsid w:val="00C605EE"/>
    <w:rsid w:val="00C61C43"/>
    <w:rsid w:val="00C64304"/>
    <w:rsid w:val="00C64698"/>
    <w:rsid w:val="00C66798"/>
    <w:rsid w:val="00C71C95"/>
    <w:rsid w:val="00C72892"/>
    <w:rsid w:val="00C73C0A"/>
    <w:rsid w:val="00C82998"/>
    <w:rsid w:val="00C83940"/>
    <w:rsid w:val="00C90149"/>
    <w:rsid w:val="00C939AC"/>
    <w:rsid w:val="00CA12A2"/>
    <w:rsid w:val="00CA44DD"/>
    <w:rsid w:val="00CA6531"/>
    <w:rsid w:val="00CB2021"/>
    <w:rsid w:val="00CC3941"/>
    <w:rsid w:val="00CD0622"/>
    <w:rsid w:val="00CD42B0"/>
    <w:rsid w:val="00CE011C"/>
    <w:rsid w:val="00CE22C7"/>
    <w:rsid w:val="00CE4508"/>
    <w:rsid w:val="00CE4BF7"/>
    <w:rsid w:val="00CE77C9"/>
    <w:rsid w:val="00CE7D6C"/>
    <w:rsid w:val="00CF0658"/>
    <w:rsid w:val="00CF0AA0"/>
    <w:rsid w:val="00CF5430"/>
    <w:rsid w:val="00CF7402"/>
    <w:rsid w:val="00D04A00"/>
    <w:rsid w:val="00D06EC6"/>
    <w:rsid w:val="00D203D2"/>
    <w:rsid w:val="00D22310"/>
    <w:rsid w:val="00D22662"/>
    <w:rsid w:val="00D26AA2"/>
    <w:rsid w:val="00D27A5A"/>
    <w:rsid w:val="00D4375D"/>
    <w:rsid w:val="00D456A3"/>
    <w:rsid w:val="00D46135"/>
    <w:rsid w:val="00D46A2C"/>
    <w:rsid w:val="00D60184"/>
    <w:rsid w:val="00D622E1"/>
    <w:rsid w:val="00D63FDA"/>
    <w:rsid w:val="00D64503"/>
    <w:rsid w:val="00D64CD4"/>
    <w:rsid w:val="00D65365"/>
    <w:rsid w:val="00D70E9B"/>
    <w:rsid w:val="00D73CC2"/>
    <w:rsid w:val="00D80D3C"/>
    <w:rsid w:val="00D830C2"/>
    <w:rsid w:val="00D86321"/>
    <w:rsid w:val="00D87658"/>
    <w:rsid w:val="00D94867"/>
    <w:rsid w:val="00D97C73"/>
    <w:rsid w:val="00DA4030"/>
    <w:rsid w:val="00DA6512"/>
    <w:rsid w:val="00DB12F2"/>
    <w:rsid w:val="00DC3B93"/>
    <w:rsid w:val="00DC5847"/>
    <w:rsid w:val="00DD7842"/>
    <w:rsid w:val="00DE33CD"/>
    <w:rsid w:val="00DE3DBB"/>
    <w:rsid w:val="00DE678C"/>
    <w:rsid w:val="00DF3E26"/>
    <w:rsid w:val="00E00EEA"/>
    <w:rsid w:val="00E0231B"/>
    <w:rsid w:val="00E025B0"/>
    <w:rsid w:val="00E02651"/>
    <w:rsid w:val="00E031B1"/>
    <w:rsid w:val="00E0732A"/>
    <w:rsid w:val="00E10D03"/>
    <w:rsid w:val="00E145AC"/>
    <w:rsid w:val="00E14ADC"/>
    <w:rsid w:val="00E15861"/>
    <w:rsid w:val="00E20015"/>
    <w:rsid w:val="00E21320"/>
    <w:rsid w:val="00E24DA4"/>
    <w:rsid w:val="00E262B8"/>
    <w:rsid w:val="00E300A8"/>
    <w:rsid w:val="00E3369E"/>
    <w:rsid w:val="00E35A8B"/>
    <w:rsid w:val="00E366D8"/>
    <w:rsid w:val="00E40391"/>
    <w:rsid w:val="00E42162"/>
    <w:rsid w:val="00E44180"/>
    <w:rsid w:val="00E45E15"/>
    <w:rsid w:val="00E479B8"/>
    <w:rsid w:val="00E53CF3"/>
    <w:rsid w:val="00E617C2"/>
    <w:rsid w:val="00E637C6"/>
    <w:rsid w:val="00E63CF7"/>
    <w:rsid w:val="00E73316"/>
    <w:rsid w:val="00E75070"/>
    <w:rsid w:val="00E80C9C"/>
    <w:rsid w:val="00E83FB1"/>
    <w:rsid w:val="00E86A4D"/>
    <w:rsid w:val="00E87486"/>
    <w:rsid w:val="00E93319"/>
    <w:rsid w:val="00EA1C0F"/>
    <w:rsid w:val="00EA46BE"/>
    <w:rsid w:val="00EA5E87"/>
    <w:rsid w:val="00EB12DA"/>
    <w:rsid w:val="00EB18BC"/>
    <w:rsid w:val="00EB2197"/>
    <w:rsid w:val="00EC28EB"/>
    <w:rsid w:val="00EC5193"/>
    <w:rsid w:val="00EC578E"/>
    <w:rsid w:val="00EC61F3"/>
    <w:rsid w:val="00EC6B9B"/>
    <w:rsid w:val="00ED1CE4"/>
    <w:rsid w:val="00ED30BB"/>
    <w:rsid w:val="00ED3AA1"/>
    <w:rsid w:val="00EE0B28"/>
    <w:rsid w:val="00EE45C1"/>
    <w:rsid w:val="00EE63F3"/>
    <w:rsid w:val="00EF0A20"/>
    <w:rsid w:val="00EF77D0"/>
    <w:rsid w:val="00F021E2"/>
    <w:rsid w:val="00F02E4F"/>
    <w:rsid w:val="00F206A9"/>
    <w:rsid w:val="00F220BB"/>
    <w:rsid w:val="00F241E5"/>
    <w:rsid w:val="00F25F31"/>
    <w:rsid w:val="00F3147C"/>
    <w:rsid w:val="00F31F5C"/>
    <w:rsid w:val="00F32D34"/>
    <w:rsid w:val="00F36B35"/>
    <w:rsid w:val="00F55D91"/>
    <w:rsid w:val="00F56386"/>
    <w:rsid w:val="00F632EA"/>
    <w:rsid w:val="00F63FAD"/>
    <w:rsid w:val="00F74197"/>
    <w:rsid w:val="00F80ED2"/>
    <w:rsid w:val="00F854DE"/>
    <w:rsid w:val="00F91556"/>
    <w:rsid w:val="00F926A6"/>
    <w:rsid w:val="00F929A8"/>
    <w:rsid w:val="00F94212"/>
    <w:rsid w:val="00FA15D5"/>
    <w:rsid w:val="00FA5E39"/>
    <w:rsid w:val="00FA6608"/>
    <w:rsid w:val="00FA7AA7"/>
    <w:rsid w:val="00FA7DEB"/>
    <w:rsid w:val="00FB192F"/>
    <w:rsid w:val="00FB2DB7"/>
    <w:rsid w:val="00FB34A8"/>
    <w:rsid w:val="00FB74D3"/>
    <w:rsid w:val="00FC3962"/>
    <w:rsid w:val="00FC6270"/>
    <w:rsid w:val="00FD0DA1"/>
    <w:rsid w:val="00FD254D"/>
    <w:rsid w:val="00FE3100"/>
    <w:rsid w:val="00FE4043"/>
    <w:rsid w:val="00FE59BD"/>
    <w:rsid w:val="00FF3B56"/>
    <w:rsid w:val="00FF6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5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48"/>
    <w:pPr>
      <w:ind w:left="720"/>
      <w:contextualSpacing/>
    </w:pPr>
  </w:style>
  <w:style w:type="paragraph" w:styleId="Header">
    <w:name w:val="header"/>
    <w:basedOn w:val="Normal"/>
    <w:link w:val="HeaderChar"/>
    <w:uiPriority w:val="99"/>
    <w:semiHidden/>
    <w:unhideWhenUsed/>
    <w:rsid w:val="00A164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64D8"/>
    <w:rPr>
      <w:rFonts w:ascii="Calibri" w:eastAsia="Calibri" w:hAnsi="Calibri" w:cs="Times New Roman"/>
    </w:rPr>
  </w:style>
  <w:style w:type="paragraph" w:styleId="Footer">
    <w:name w:val="footer"/>
    <w:basedOn w:val="Normal"/>
    <w:link w:val="FooterChar"/>
    <w:uiPriority w:val="99"/>
    <w:unhideWhenUsed/>
    <w:rsid w:val="00A16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4D8"/>
    <w:rPr>
      <w:rFonts w:ascii="Calibri" w:eastAsia="Calibri" w:hAnsi="Calibri" w:cs="Times New Roman"/>
    </w:rPr>
  </w:style>
  <w:style w:type="table" w:styleId="TableGrid">
    <w:name w:val="Table Grid"/>
    <w:basedOn w:val="TableNormal"/>
    <w:uiPriority w:val="59"/>
    <w:rsid w:val="00B548A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30895-9D74-4BE6-BB9E-648684E5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16</Pages>
  <Words>4508</Words>
  <Characters>25698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rmohee</cp:lastModifiedBy>
  <cp:revision>48</cp:revision>
  <cp:lastPrinted>2015-08-05T09:13:00Z</cp:lastPrinted>
  <dcterms:created xsi:type="dcterms:W3CDTF">2015-07-21T06:17:00Z</dcterms:created>
  <dcterms:modified xsi:type="dcterms:W3CDTF">2015-08-05T09:13:00Z</dcterms:modified>
</cp:coreProperties>
</file>